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89F23" w14:textId="67A52DAC" w:rsidR="00D26DFD" w:rsidRPr="00A079D3" w:rsidRDefault="00D26DFD" w:rsidP="00D26DFD">
      <w:pPr>
        <w:keepLines/>
        <w:tabs>
          <w:tab w:val="left" w:pos="567"/>
        </w:tabs>
        <w:overflowPunct/>
        <w:autoSpaceDE/>
        <w:autoSpaceDN/>
        <w:snapToGrid w:val="0"/>
        <w:spacing w:after="0"/>
        <w:textAlignment w:val="auto"/>
        <w:rPr>
          <w:rFonts w:eastAsia="MS Mincho" w:cs="Arial"/>
          <w:b/>
          <w:sz w:val="28"/>
          <w:szCs w:val="28"/>
        </w:rPr>
      </w:pPr>
      <w:r w:rsidRPr="00A079D3">
        <w:rPr>
          <w:rFonts w:cs="Arial"/>
          <w:b/>
          <w:sz w:val="28"/>
          <w:szCs w:val="28"/>
        </w:rPr>
        <w:t xml:space="preserve">3GPP TSG </w:t>
      </w:r>
      <w:r>
        <w:rPr>
          <w:rFonts w:cs="Arial"/>
          <w:b/>
          <w:sz w:val="28"/>
          <w:szCs w:val="28"/>
        </w:rPr>
        <w:t>RAN Meeting #</w:t>
      </w:r>
      <w:r w:rsidR="00EF57AE">
        <w:rPr>
          <w:rFonts w:cs="Arial"/>
          <w:b/>
          <w:sz w:val="28"/>
          <w:szCs w:val="28"/>
        </w:rPr>
        <w:t>100</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002A46" w:rsidRPr="00002A46">
        <w:rPr>
          <w:rFonts w:cs="Arial"/>
          <w:b/>
          <w:sz w:val="28"/>
          <w:szCs w:val="28"/>
        </w:rPr>
        <w:t>RP-231203</w:t>
      </w:r>
    </w:p>
    <w:p w14:paraId="0AA699BF" w14:textId="63F9D57A" w:rsidR="00E90E49" w:rsidRPr="0078625C" w:rsidRDefault="00EF57AE" w:rsidP="00357380">
      <w:pPr>
        <w:pStyle w:val="3GPPHeader"/>
      </w:pPr>
      <w:r>
        <w:rPr>
          <w:rFonts w:cs="Arial"/>
          <w:sz w:val="28"/>
          <w:szCs w:val="28"/>
        </w:rPr>
        <w:t>Taipei</w:t>
      </w:r>
      <w:r w:rsidR="00D26DFD" w:rsidRPr="00A524B9">
        <w:rPr>
          <w:rFonts w:cs="Arial"/>
          <w:sz w:val="28"/>
          <w:szCs w:val="28"/>
        </w:rPr>
        <w:t xml:space="preserve">, </w:t>
      </w:r>
      <w:r>
        <w:rPr>
          <w:rFonts w:cs="Arial"/>
          <w:sz w:val="28"/>
          <w:szCs w:val="28"/>
        </w:rPr>
        <w:t>June</w:t>
      </w:r>
      <w:r w:rsidR="00D26DFD" w:rsidRPr="00A524B9">
        <w:rPr>
          <w:rFonts w:cs="Arial"/>
          <w:sz w:val="28"/>
          <w:szCs w:val="28"/>
        </w:rPr>
        <w:t xml:space="preserve"> </w:t>
      </w:r>
      <w:r w:rsidR="00D26DFD" w:rsidRPr="0051497D">
        <w:rPr>
          <w:rFonts w:cs="Arial"/>
          <w:sz w:val="28"/>
          <w:szCs w:val="28"/>
        </w:rPr>
        <w:t>12</w:t>
      </w:r>
      <w:r w:rsidR="009246F2" w:rsidRPr="0051497D">
        <w:rPr>
          <w:rFonts w:cs="Arial"/>
          <w:sz w:val="28"/>
          <w:szCs w:val="28"/>
          <w:vertAlign w:val="superscript"/>
        </w:rPr>
        <w:t>th</w:t>
      </w:r>
      <w:r w:rsidR="009246F2" w:rsidRPr="0051497D">
        <w:rPr>
          <w:rFonts w:cs="Arial"/>
          <w:sz w:val="28"/>
          <w:szCs w:val="28"/>
        </w:rPr>
        <w:t xml:space="preserve"> </w:t>
      </w:r>
      <w:r w:rsidR="00D26DFD" w:rsidRPr="0051497D">
        <w:rPr>
          <w:rFonts w:cs="Arial"/>
          <w:sz w:val="28"/>
          <w:szCs w:val="28"/>
        </w:rPr>
        <w:t>-1</w:t>
      </w:r>
      <w:r w:rsidR="0051497D" w:rsidRPr="0051497D">
        <w:rPr>
          <w:rFonts w:cs="Arial"/>
          <w:sz w:val="28"/>
          <w:szCs w:val="28"/>
        </w:rPr>
        <w:t>4</w:t>
      </w:r>
      <w:r w:rsidR="009246F2" w:rsidRPr="009246F2">
        <w:rPr>
          <w:rFonts w:cs="Arial"/>
          <w:sz w:val="28"/>
          <w:szCs w:val="28"/>
          <w:vertAlign w:val="superscript"/>
        </w:rPr>
        <w:t>th</w:t>
      </w:r>
      <w:r w:rsidR="00D26DFD" w:rsidRPr="00A524B9">
        <w:rPr>
          <w:rFonts w:cs="Arial"/>
          <w:sz w:val="28"/>
          <w:szCs w:val="28"/>
        </w:rPr>
        <w:t xml:space="preserve">, </w:t>
      </w:r>
      <w:r w:rsidR="00A75901" w:rsidRPr="00A524B9" w:rsidDel="00D26DFD">
        <w:rPr>
          <w:rFonts w:cs="Arial"/>
          <w:sz w:val="28"/>
          <w:szCs w:val="28"/>
        </w:rPr>
        <w:t>202</w:t>
      </w:r>
      <w:r>
        <w:rPr>
          <w:rFonts w:cs="Arial"/>
          <w:sz w:val="28"/>
          <w:szCs w:val="28"/>
        </w:rPr>
        <w:t>3</w:t>
      </w:r>
    </w:p>
    <w:p w14:paraId="79A14614" w14:textId="77777777" w:rsidR="00D26DFD" w:rsidRDefault="00D26DFD" w:rsidP="00311702">
      <w:pPr>
        <w:pStyle w:val="3GPPHeader"/>
        <w:rPr>
          <w:sz w:val="22"/>
          <w:szCs w:val="22"/>
        </w:rPr>
      </w:pPr>
    </w:p>
    <w:p w14:paraId="3464E77D" w14:textId="3B0A6035" w:rsidR="00E90E49" w:rsidRPr="00581342" w:rsidRDefault="00E90E49" w:rsidP="00311702">
      <w:pPr>
        <w:pStyle w:val="3GPPHeader"/>
        <w:rPr>
          <w:sz w:val="22"/>
          <w:szCs w:val="22"/>
        </w:rPr>
      </w:pPr>
      <w:r w:rsidRPr="001B690D">
        <w:rPr>
          <w:sz w:val="22"/>
          <w:szCs w:val="22"/>
        </w:rPr>
        <w:t>Agenda Item:</w:t>
      </w:r>
      <w:r w:rsidRPr="001B690D">
        <w:rPr>
          <w:sz w:val="22"/>
          <w:szCs w:val="22"/>
        </w:rPr>
        <w:tab/>
      </w:r>
      <w:r w:rsidR="00B046E9" w:rsidRPr="00D73916">
        <w:rPr>
          <w:rFonts w:cs="Arial"/>
          <w:bCs/>
        </w:rPr>
        <w:t>9.3.2.6</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44E6A212" w:rsidR="00E90E49" w:rsidRPr="00CE0424" w:rsidRDefault="003D3C45" w:rsidP="00311702">
      <w:pPr>
        <w:pStyle w:val="3GPPHeader"/>
        <w:rPr>
          <w:sz w:val="22"/>
          <w:szCs w:val="22"/>
        </w:rPr>
      </w:pPr>
      <w:r>
        <w:rPr>
          <w:sz w:val="22"/>
          <w:szCs w:val="22"/>
        </w:rPr>
        <w:t>Title:</w:t>
      </w:r>
      <w:r w:rsidR="00E90E49" w:rsidRPr="00CE0424">
        <w:rPr>
          <w:sz w:val="22"/>
          <w:szCs w:val="22"/>
        </w:rPr>
        <w:tab/>
      </w:r>
      <w:r w:rsidR="00EF57AE">
        <w:rPr>
          <w:sz w:val="22"/>
          <w:szCs w:val="22"/>
        </w:rPr>
        <w:t>No-transmit zones for UAVs</w:t>
      </w:r>
      <w:r w:rsidR="00747298">
        <w:rPr>
          <w:sz w:val="22"/>
          <w:szCs w:val="22"/>
        </w:rPr>
        <w:t xml:space="preserve"> </w:t>
      </w:r>
    </w:p>
    <w:p w14:paraId="17F3D9E8" w14:textId="2C8C77B4" w:rsidR="00E90E49" w:rsidRDefault="00E90E49" w:rsidP="00D546FF">
      <w:pPr>
        <w:pStyle w:val="3GPPHeader"/>
        <w:rPr>
          <w:sz w:val="22"/>
          <w:szCs w:val="22"/>
        </w:rPr>
      </w:pPr>
      <w:r w:rsidRPr="00CE0424">
        <w:rPr>
          <w:sz w:val="22"/>
          <w:szCs w:val="22"/>
        </w:rPr>
        <w:t>Document for:</w:t>
      </w:r>
      <w:r w:rsidRPr="00CE0424">
        <w:rPr>
          <w:sz w:val="22"/>
          <w:szCs w:val="22"/>
        </w:rPr>
        <w:tab/>
      </w:r>
      <w:r w:rsidR="007B1C7D">
        <w:rPr>
          <w:sz w:val="22"/>
          <w:szCs w:val="22"/>
        </w:rPr>
        <w:t>Discussion, Agreement</w:t>
      </w:r>
    </w:p>
    <w:p w14:paraId="73180E7A" w14:textId="77777777" w:rsidR="00C24345" w:rsidRDefault="00E90E49" w:rsidP="00A2052C">
      <w:pPr>
        <w:pStyle w:val="Heading1"/>
      </w:pPr>
      <w:r w:rsidRPr="00CE0424">
        <w:t>Introduction</w:t>
      </w:r>
    </w:p>
    <w:p w14:paraId="54D457E0" w14:textId="1F1EC5AC" w:rsidR="004C10B1" w:rsidRPr="000C1BDA" w:rsidRDefault="00EF57AE" w:rsidP="004C10B1">
      <w:pPr>
        <w:rPr>
          <w:lang w:val="en-GB"/>
        </w:rPr>
      </w:pPr>
      <w:r w:rsidRPr="00730E67">
        <w:rPr>
          <w:lang w:val="en-GB"/>
        </w:rPr>
        <w:t>Rel-18 WI on NR support for UAVs has evolved in scope over time. In the latest update of the WID in RAN#99</w:t>
      </w:r>
      <w:r w:rsidR="005B572D" w:rsidRPr="00730E67">
        <w:rPr>
          <w:lang w:val="en-GB"/>
        </w:rPr>
        <w:t xml:space="preserve"> </w:t>
      </w:r>
      <w:r w:rsidR="005B572D" w:rsidRPr="00730E67">
        <w:rPr>
          <w:lang w:val="en-GB"/>
        </w:rPr>
        <w:fldChar w:fldCharType="begin"/>
      </w:r>
      <w:r w:rsidR="005B572D" w:rsidRPr="00730E67">
        <w:rPr>
          <w:lang w:val="en-GB"/>
        </w:rPr>
        <w:instrText xml:space="preserve"> REF _Ref136503319 \r \h </w:instrText>
      </w:r>
      <w:r w:rsidR="005B572D" w:rsidRPr="00730E67">
        <w:rPr>
          <w:lang w:val="en-GB"/>
        </w:rPr>
      </w:r>
      <w:r w:rsidR="00730E67">
        <w:rPr>
          <w:lang w:val="en-GB"/>
        </w:rPr>
        <w:instrText xml:space="preserve"> \* MERGEFORMAT </w:instrText>
      </w:r>
      <w:r w:rsidR="005B572D" w:rsidRPr="00730E67">
        <w:rPr>
          <w:lang w:val="en-GB"/>
        </w:rPr>
        <w:fldChar w:fldCharType="separate"/>
      </w:r>
      <w:r w:rsidR="00D862DA" w:rsidRPr="00730E67">
        <w:rPr>
          <w:lang w:val="en-GB"/>
        </w:rPr>
        <w:t>[1]</w:t>
      </w:r>
      <w:r w:rsidR="005B572D" w:rsidRPr="00730E67">
        <w:rPr>
          <w:lang w:val="en-GB"/>
        </w:rPr>
        <w:fldChar w:fldCharType="end"/>
      </w:r>
      <w:r w:rsidRPr="00730E67">
        <w:rPr>
          <w:lang w:val="en-GB"/>
        </w:rPr>
        <w:t>, a R</w:t>
      </w:r>
      <w:r>
        <w:rPr>
          <w:lang w:val="en-GB"/>
        </w:rPr>
        <w:t xml:space="preserve">AN4-led objective was added to address out-of-band emission requirements set by the ECC Decision 22(07). The present contribution addresses another </w:t>
      </w:r>
      <w:r w:rsidR="00DB6951">
        <w:rPr>
          <w:lang w:val="en-GB"/>
        </w:rPr>
        <w:t>aspect</w:t>
      </w:r>
      <w:r>
        <w:rPr>
          <w:lang w:val="en-GB"/>
        </w:rPr>
        <w:t xml:space="preserve"> in the ECC Decision 22(0</w:t>
      </w:r>
      <w:r w:rsidR="00DB6951">
        <w:rPr>
          <w:lang w:val="en-GB"/>
        </w:rPr>
        <w:t>7</w:t>
      </w:r>
      <w:r>
        <w:rPr>
          <w:lang w:val="en-GB"/>
        </w:rPr>
        <w:t>)</w:t>
      </w:r>
      <w:r w:rsidR="00DB6951">
        <w:rPr>
          <w:lang w:val="en-GB"/>
        </w:rPr>
        <w:t>, namely the no-transmit zone,</w:t>
      </w:r>
      <w:r>
        <w:rPr>
          <w:lang w:val="en-GB"/>
        </w:rPr>
        <w:t xml:space="preserve"> </w:t>
      </w:r>
      <w:r w:rsidR="00DB6951">
        <w:rPr>
          <w:lang w:val="en-GB"/>
        </w:rPr>
        <w:t>which has not been covered in the UAV WI.</w:t>
      </w:r>
      <w:r>
        <w:rPr>
          <w:lang w:val="en-GB"/>
        </w:rPr>
        <w:t xml:space="preserve"> </w:t>
      </w:r>
    </w:p>
    <w:p w14:paraId="4671E92F" w14:textId="55903FC6" w:rsidR="008C02BD" w:rsidRDefault="00DB6951" w:rsidP="00057DE4">
      <w:pPr>
        <w:pStyle w:val="Heading1"/>
      </w:pPr>
      <w:r>
        <w:t>No-transmit zone</w:t>
      </w:r>
    </w:p>
    <w:p w14:paraId="79825BDE" w14:textId="1CEC0BFF" w:rsidR="00D8027C" w:rsidRDefault="00DB6951" w:rsidP="00AB7C27">
      <w:pPr>
        <w:rPr>
          <w:lang w:val="en-GB"/>
        </w:rPr>
      </w:pPr>
      <w:r>
        <w:rPr>
          <w:lang w:val="en-GB"/>
        </w:rPr>
        <w:t xml:space="preserve">In </w:t>
      </w:r>
      <w:r w:rsidR="00F74913">
        <w:rPr>
          <w:lang w:val="en-GB"/>
        </w:rPr>
        <w:t xml:space="preserve">November </w:t>
      </w:r>
      <w:r>
        <w:rPr>
          <w:lang w:val="en-GB"/>
        </w:rPr>
        <w:t xml:space="preserve">2022, CEPT made Decision 22(07) on </w:t>
      </w:r>
      <w:r w:rsidR="00F74913" w:rsidRPr="007A3C78">
        <w:rPr>
          <w:lang w:val="en-GB"/>
        </w:rPr>
        <w:t xml:space="preserve">Harmonised technical conditions for the usage of aerial UE for communications based on LTE and 5G NR in </w:t>
      </w:r>
      <w:r w:rsidR="00F74913">
        <w:rPr>
          <w:lang w:val="en-GB"/>
        </w:rPr>
        <w:t xml:space="preserve">several </w:t>
      </w:r>
      <w:r w:rsidR="00F74913" w:rsidRPr="007A3C78">
        <w:rPr>
          <w:lang w:val="en-GB"/>
        </w:rPr>
        <w:t>bands</w:t>
      </w:r>
      <w:r w:rsidR="00F74913">
        <w:rPr>
          <w:lang w:val="en-GB"/>
        </w:rPr>
        <w:t xml:space="preserve"> harmonized for MFCN</w:t>
      </w:r>
      <w:r>
        <w:rPr>
          <w:lang w:val="en-GB"/>
        </w:rPr>
        <w:t xml:space="preserve">. The decision assumes multiple </w:t>
      </w:r>
      <w:r w:rsidR="00D8027C">
        <w:rPr>
          <w:lang w:val="en-GB"/>
        </w:rPr>
        <w:t xml:space="preserve">technical conditions and requirements </w:t>
      </w:r>
      <w:r>
        <w:rPr>
          <w:lang w:val="en-GB"/>
        </w:rPr>
        <w:t>to support aerial UEs in mobile systems</w:t>
      </w:r>
      <w:r w:rsidR="00D8027C">
        <w:rPr>
          <w:lang w:val="en-GB"/>
        </w:rPr>
        <w:t xml:space="preserve"> (both LTE and NR)</w:t>
      </w:r>
      <w:r>
        <w:rPr>
          <w:lang w:val="en-GB"/>
        </w:rPr>
        <w:t xml:space="preserve">. </w:t>
      </w:r>
      <w:r w:rsidR="00D8027C">
        <w:rPr>
          <w:lang w:val="en-GB"/>
        </w:rPr>
        <w:t>Two notable ones are no-transmit zone (NTZ) and out-of-band emission (OOBE) requirements, as shown in the following excerpt from the Decision</w:t>
      </w:r>
      <w:r w:rsidR="00A951D5">
        <w:rPr>
          <w:lang w:val="en-GB"/>
        </w:rPr>
        <w:t xml:space="preserve"> (further details are in the Appendix)</w:t>
      </w:r>
      <w:r w:rsidR="00D8027C">
        <w:rPr>
          <w:lang w:val="en-GB"/>
        </w:rPr>
        <w:t>:</w:t>
      </w:r>
    </w:p>
    <w:tbl>
      <w:tblPr>
        <w:tblStyle w:val="TableGrid"/>
        <w:tblW w:w="0" w:type="auto"/>
        <w:tblLook w:val="04A0" w:firstRow="1" w:lastRow="0" w:firstColumn="1" w:lastColumn="0" w:noHBand="0" w:noVBand="1"/>
      </w:tblPr>
      <w:tblGrid>
        <w:gridCol w:w="9629"/>
      </w:tblGrid>
      <w:tr w:rsidR="00D8027C" w14:paraId="1453DEFA" w14:textId="77777777" w:rsidTr="00D8027C">
        <w:tc>
          <w:tcPr>
            <w:tcW w:w="9629" w:type="dxa"/>
          </w:tcPr>
          <w:p w14:paraId="16DABFED" w14:textId="5F4C5C56" w:rsidR="00D8027C" w:rsidRDefault="00D8027C" w:rsidP="00D8027C">
            <w:pPr>
              <w:spacing w:before="240" w:after="60"/>
            </w:pPr>
            <w:r w:rsidRPr="000C4203">
              <w:t xml:space="preserve">In addition to the already </w:t>
            </w:r>
            <w:proofErr w:type="spellStart"/>
            <w:r w:rsidRPr="000C4203">
              <w:t>harmonised</w:t>
            </w:r>
            <w:proofErr w:type="spellEnd"/>
            <w:r w:rsidRPr="000C4203">
              <w:t xml:space="preserve">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 xml:space="preserve">Another measure to achieve coexistence is to define additional OOB emission limits specific to aerial UE (to avoid interference to other services in some other bands (e.g. to protect </w:t>
            </w:r>
            <w:proofErr w:type="spellStart"/>
            <w:r w:rsidRPr="000C4203">
              <w:t>MetSat</w:t>
            </w:r>
            <w:proofErr w:type="spellEnd"/>
            <w:r w:rsidRPr="000C4203">
              <w:t xml:space="preserve">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p>
          <w:p w14:paraId="79B1B84A" w14:textId="77777777" w:rsidR="00D8027C" w:rsidRDefault="00D8027C" w:rsidP="00D8027C">
            <w:pPr>
              <w:spacing w:before="240" w:after="60"/>
            </w:pPr>
            <w:r>
              <w:t>…</w:t>
            </w:r>
          </w:p>
          <w:p w14:paraId="61472A76" w14:textId="77777777" w:rsidR="00D8027C" w:rsidRPr="00D8027C" w:rsidRDefault="00D8027C" w:rsidP="00D8027C">
            <w:pPr>
              <w:keepNext/>
              <w:pageBreakBefore/>
              <w:overflowPunct/>
              <w:autoSpaceDE/>
              <w:autoSpaceDN/>
              <w:adjustRightInd/>
              <w:spacing w:before="400" w:after="240"/>
              <w:jc w:val="left"/>
              <w:textAlignment w:val="auto"/>
              <w:outlineLvl w:val="0"/>
              <w:rPr>
                <w:rFonts w:eastAsia="Times New Roman" w:cs="Arial"/>
                <w:b/>
                <w:bCs/>
                <w:caps/>
                <w:color w:val="D2232A"/>
                <w:kern w:val="32"/>
                <w:szCs w:val="32"/>
                <w:lang w:val="en-GB" w:eastAsia="en-US"/>
              </w:rPr>
            </w:pPr>
            <w:r w:rsidRPr="00D8027C">
              <w:rPr>
                <w:rFonts w:eastAsia="Times New Roman" w:cs="Arial"/>
                <w:b/>
                <w:bCs/>
                <w:caps/>
                <w:color w:val="D2232A"/>
                <w:kern w:val="32"/>
                <w:szCs w:val="32"/>
                <w:lang w:val="en-GB" w:eastAsia="en-US"/>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p>
          <w:p w14:paraId="0234D726" w14:textId="77777777" w:rsidR="00D8027C" w:rsidRPr="00D8027C" w:rsidRDefault="00D8027C" w:rsidP="00D8027C">
            <w:pPr>
              <w:overflowPunct/>
              <w:autoSpaceDE/>
              <w:autoSpaceDN/>
              <w:adjustRightInd/>
              <w:spacing w:before="240" w:after="60"/>
              <w:textAlignment w:val="auto"/>
              <w:rPr>
                <w:rFonts w:eastAsia="Times New Roman"/>
                <w:szCs w:val="24"/>
                <w:lang w:val="en-GB" w:eastAsia="en-US"/>
              </w:rPr>
            </w:pPr>
            <w:r w:rsidRPr="00D8027C">
              <w:rPr>
                <w:rFonts w:eastAsia="Times New Roman"/>
                <w:szCs w:val="24"/>
                <w:lang w:val="en-GB" w:eastAsia="en-US"/>
              </w:rPr>
              <w:t>“The European Conference of Postal and Telecommunications Administrations,</w:t>
            </w:r>
          </w:p>
          <w:p w14:paraId="201E2C0F" w14:textId="7AB98020" w:rsidR="00D8027C" w:rsidRDefault="00D8027C" w:rsidP="00D8027C">
            <w:pPr>
              <w:spacing w:before="240" w:after="60"/>
              <w:rPr>
                <w:rFonts w:eastAsia="Times New Roman"/>
                <w:i/>
                <w:iCs/>
                <w:color w:val="D2232A"/>
                <w:szCs w:val="24"/>
                <w:lang w:eastAsia="en-US"/>
              </w:rPr>
            </w:pPr>
            <w:r w:rsidRPr="00D8027C">
              <w:rPr>
                <w:rFonts w:eastAsia="Times New Roman"/>
                <w:i/>
                <w:iCs/>
                <w:color w:val="D2232A"/>
                <w:szCs w:val="24"/>
                <w:lang w:eastAsia="en-US"/>
              </w:rPr>
              <w:t>Considering</w:t>
            </w:r>
          </w:p>
          <w:p w14:paraId="7BFF83BF" w14:textId="77777777" w:rsidR="00D8027C" w:rsidRDefault="00D8027C" w:rsidP="00D8027C">
            <w:pPr>
              <w:spacing w:before="240" w:after="60"/>
              <w:rPr>
                <w:rFonts w:eastAsia="Times New Roman"/>
                <w:i/>
                <w:iCs/>
                <w:color w:val="D2232A"/>
                <w:szCs w:val="24"/>
              </w:rPr>
            </w:pPr>
            <w:r>
              <w:rPr>
                <w:rFonts w:eastAsia="Times New Roman"/>
                <w:i/>
                <w:iCs/>
                <w:color w:val="D2232A"/>
                <w:szCs w:val="24"/>
              </w:rPr>
              <w:t>…</w:t>
            </w:r>
          </w:p>
          <w:p w14:paraId="045F0C32" w14:textId="77777777" w:rsidR="00D8027C" w:rsidRPr="00D8027C" w:rsidRDefault="00D8027C" w:rsidP="00D8027C">
            <w:pPr>
              <w:numPr>
                <w:ilvl w:val="0"/>
                <w:numId w:val="29"/>
              </w:numPr>
              <w:tabs>
                <w:tab w:val="left" w:pos="567"/>
              </w:tabs>
              <w:overflowPunct/>
              <w:autoSpaceDE/>
              <w:autoSpaceDN/>
              <w:adjustRightInd/>
              <w:spacing w:after="240"/>
              <w:ind w:left="597" w:hanging="567"/>
              <w:textAlignment w:val="auto"/>
              <w:rPr>
                <w:rFonts w:eastAsia="Times New Roman"/>
                <w:szCs w:val="24"/>
                <w:lang w:eastAsia="en-US"/>
              </w:rPr>
            </w:pPr>
            <w:r w:rsidRPr="00D8027C">
              <w:rPr>
                <w:rFonts w:eastAsia="Times New Roman"/>
                <w:szCs w:val="24"/>
                <w:lang w:eastAsia="en-US"/>
              </w:rPr>
              <w:lastRenderedPageBreak/>
              <w:t xml:space="preserve">that a no-transmit zone in this Decision is defined as a geographical area where aerial UE are not allowed to transmit for spectrum compatibility purposes in a given </w:t>
            </w:r>
            <w:proofErr w:type="spellStart"/>
            <w:r w:rsidRPr="00D8027C">
              <w:rPr>
                <w:rFonts w:eastAsia="Times New Roman"/>
                <w:szCs w:val="24"/>
                <w:lang w:eastAsia="en-US"/>
              </w:rPr>
              <w:t>harmonised</w:t>
            </w:r>
            <w:proofErr w:type="spellEnd"/>
            <w:r w:rsidRPr="00D8027C">
              <w:rPr>
                <w:rFonts w:eastAsia="Times New Roman"/>
                <w:szCs w:val="24"/>
                <w:lang w:eastAsia="en-US"/>
              </w:rPr>
              <w:t xml:space="preserve"> MFCN band or part of it;</w:t>
            </w:r>
          </w:p>
          <w:p w14:paraId="4D638FD0" w14:textId="77777777" w:rsidR="00D8027C" w:rsidRPr="00D8027C" w:rsidRDefault="00D8027C" w:rsidP="00D8027C">
            <w:pPr>
              <w:numPr>
                <w:ilvl w:val="0"/>
                <w:numId w:val="29"/>
              </w:numPr>
              <w:tabs>
                <w:tab w:val="left" w:pos="567"/>
              </w:tabs>
              <w:overflowPunct/>
              <w:autoSpaceDE/>
              <w:autoSpaceDN/>
              <w:adjustRightInd/>
              <w:spacing w:after="240"/>
              <w:ind w:left="567" w:hanging="567"/>
              <w:textAlignment w:val="auto"/>
              <w:rPr>
                <w:rFonts w:eastAsia="Times New Roman"/>
                <w:szCs w:val="24"/>
                <w:lang w:val="en-GB" w:eastAsia="en-US"/>
              </w:rPr>
            </w:pPr>
            <w:r w:rsidRPr="00D8027C">
              <w:rPr>
                <w:rFonts w:eastAsia="Times New Roman"/>
                <w:szCs w:val="24"/>
                <w:lang w:val="en-GB" w:eastAsia="en-US"/>
              </w:rPr>
              <w:t>that national studies are needed, as appropriate, to define no-transmit zones for spectrum compatibility purposes, for aerial UE operating in the relevant frequency bands;</w:t>
            </w:r>
            <w:r w:rsidRPr="00D8027C">
              <w:rPr>
                <w:rFonts w:eastAsia="Times New Roman"/>
                <w:szCs w:val="24"/>
                <w:lang w:eastAsia="en-US"/>
              </w:rPr>
              <w:t xml:space="preserve"> </w:t>
            </w:r>
          </w:p>
          <w:p w14:paraId="7F90FA7F" w14:textId="77777777" w:rsidR="00D8027C" w:rsidRPr="00D8027C" w:rsidRDefault="00D8027C" w:rsidP="00D8027C">
            <w:pPr>
              <w:numPr>
                <w:ilvl w:val="0"/>
                <w:numId w:val="29"/>
              </w:numPr>
              <w:tabs>
                <w:tab w:val="left" w:pos="567"/>
              </w:tabs>
              <w:overflowPunct/>
              <w:autoSpaceDE/>
              <w:autoSpaceDN/>
              <w:adjustRightInd/>
              <w:spacing w:after="240"/>
              <w:ind w:left="567" w:hanging="567"/>
              <w:textAlignment w:val="auto"/>
              <w:rPr>
                <w:rFonts w:eastAsia="Times New Roman"/>
                <w:szCs w:val="24"/>
                <w:lang w:eastAsia="en-US"/>
              </w:rPr>
            </w:pPr>
            <w:r w:rsidRPr="00D8027C">
              <w:rPr>
                <w:rFonts w:eastAsia="Times New Roman"/>
                <w:szCs w:val="24"/>
                <w:lang w:eastAsia="en-US"/>
              </w:rPr>
              <w:t>that a mechanism is necessary to ensure that aerial UE respect no-transmit zones;</w:t>
            </w:r>
          </w:p>
          <w:p w14:paraId="216EA186" w14:textId="77777777" w:rsidR="00D8027C" w:rsidRDefault="00D8027C" w:rsidP="00D8027C">
            <w:pPr>
              <w:spacing w:before="240" w:after="60"/>
              <w:rPr>
                <w:lang w:val="en-GB"/>
              </w:rPr>
            </w:pPr>
            <w:r>
              <w:rPr>
                <w:lang w:val="en-GB"/>
              </w:rPr>
              <w:t>…</w:t>
            </w:r>
          </w:p>
          <w:p w14:paraId="2019B972" w14:textId="530710D8" w:rsidR="00D8027C" w:rsidRDefault="00D8027C" w:rsidP="00D8027C">
            <w:pPr>
              <w:overflowPunct/>
              <w:autoSpaceDE/>
              <w:autoSpaceDN/>
              <w:adjustRightInd/>
              <w:spacing w:before="240" w:after="60"/>
              <w:textAlignment w:val="auto"/>
              <w:rPr>
                <w:rFonts w:eastAsia="Times New Roman" w:cs="Arial"/>
                <w:i/>
                <w:color w:val="D2232A"/>
                <w:szCs w:val="24"/>
                <w:lang w:val="en-GB" w:eastAsia="en-US"/>
              </w:rPr>
            </w:pPr>
            <w:r w:rsidRPr="00D8027C">
              <w:rPr>
                <w:rFonts w:eastAsia="Times New Roman" w:cs="Arial"/>
                <w:i/>
                <w:color w:val="D2232A"/>
                <w:szCs w:val="24"/>
                <w:lang w:val="en-GB" w:eastAsia="en-US"/>
              </w:rPr>
              <w:t>DECIDES</w:t>
            </w:r>
          </w:p>
          <w:p w14:paraId="511E221F" w14:textId="40C67BB8" w:rsidR="00D8027C" w:rsidRPr="00D8027C" w:rsidRDefault="00D8027C" w:rsidP="00D8027C">
            <w:pPr>
              <w:overflowPunct/>
              <w:autoSpaceDE/>
              <w:autoSpaceDN/>
              <w:adjustRightInd/>
              <w:spacing w:before="240" w:after="60"/>
              <w:textAlignment w:val="auto"/>
              <w:rPr>
                <w:rFonts w:eastAsia="Times New Roman" w:cs="Arial"/>
                <w:i/>
                <w:color w:val="D2232A"/>
                <w:szCs w:val="24"/>
                <w:lang w:val="en-GB" w:eastAsia="en-US"/>
              </w:rPr>
            </w:pPr>
            <w:r>
              <w:rPr>
                <w:rFonts w:eastAsia="Times New Roman" w:cs="Arial"/>
                <w:i/>
                <w:color w:val="D2232A"/>
                <w:szCs w:val="24"/>
                <w:lang w:val="en-GB" w:eastAsia="en-US"/>
              </w:rPr>
              <w:t>….</w:t>
            </w:r>
          </w:p>
          <w:p w14:paraId="7CB70551" w14:textId="6E658D1B" w:rsidR="00D8027C" w:rsidRDefault="00D8027C" w:rsidP="00D8027C">
            <w:pPr>
              <w:spacing w:before="240" w:after="60"/>
              <w:rPr>
                <w:lang w:val="en-GB"/>
              </w:rPr>
            </w:pPr>
            <w:r w:rsidRPr="00D8027C">
              <w:rPr>
                <w:rFonts w:eastAsia="Times New Roman"/>
                <w:szCs w:val="24"/>
                <w:lang w:eastAsia="en-US"/>
              </w:rPr>
              <w:t>t</w:t>
            </w:r>
            <w:r w:rsidRPr="00D8027C">
              <w:rPr>
                <w:rFonts w:eastAsia="Times New Roman"/>
                <w:iCs/>
                <w:szCs w:val="24"/>
                <w:lang w:eastAsia="en-US"/>
              </w:rPr>
              <w:t xml:space="preserve">hat no-transmit zones as described in this Decision should be defined and implemented at national level and where necessary coordinated with </w:t>
            </w:r>
            <w:proofErr w:type="spellStart"/>
            <w:r w:rsidRPr="00D8027C">
              <w:rPr>
                <w:rFonts w:eastAsia="Times New Roman"/>
                <w:iCs/>
                <w:szCs w:val="24"/>
                <w:lang w:eastAsia="en-US"/>
              </w:rPr>
              <w:t>neighbouring</w:t>
            </w:r>
            <w:proofErr w:type="spellEnd"/>
            <w:r w:rsidRPr="00D8027C">
              <w:rPr>
                <w:rFonts w:eastAsia="Times New Roman"/>
                <w:iCs/>
                <w:szCs w:val="24"/>
                <w:lang w:eastAsia="en-US"/>
              </w:rPr>
              <w:t xml:space="preserve"> countries;</w:t>
            </w:r>
          </w:p>
        </w:tc>
      </w:tr>
    </w:tbl>
    <w:p w14:paraId="638B3948" w14:textId="77777777" w:rsidR="00D8027C" w:rsidRDefault="00D8027C" w:rsidP="00AB7C27">
      <w:pPr>
        <w:rPr>
          <w:lang w:val="en-GB"/>
        </w:rPr>
      </w:pPr>
    </w:p>
    <w:p w14:paraId="6FE10377" w14:textId="637B0B1C" w:rsidR="00D8027C" w:rsidRDefault="009605CC" w:rsidP="00AB7C27">
      <w:pPr>
        <w:rPr>
          <w:lang w:val="en-GB"/>
        </w:rPr>
      </w:pPr>
      <w:r>
        <w:rPr>
          <w:lang w:val="en-GB"/>
        </w:rPr>
        <w:t xml:space="preserve">As can be seen in n) above, the ECC Decision asserts that a mechanism is necessary to ensure that aerial UE respect no-transmit zones. </w:t>
      </w:r>
    </w:p>
    <w:p w14:paraId="2F3E8F6C" w14:textId="0EA98AA8" w:rsidR="00DE68CD" w:rsidRDefault="00526EC7" w:rsidP="001F7017">
      <w:pPr>
        <w:pStyle w:val="Observation"/>
        <w:ind w:left="1701" w:hanging="1701"/>
        <w:rPr>
          <w:lang w:val="en-GB"/>
        </w:rPr>
      </w:pPr>
      <w:bookmarkStart w:id="0" w:name="_Toc136871176"/>
      <w:r>
        <w:rPr>
          <w:lang w:val="en-GB"/>
        </w:rPr>
        <w:t>As with additional OOBE requirements, n</w:t>
      </w:r>
      <w:r w:rsidR="00DE68CD">
        <w:rPr>
          <w:lang w:val="en-GB"/>
        </w:rPr>
        <w:t>o-transmit zones are important to protect incumbent radio systems from potential interference from aerial UEs.</w:t>
      </w:r>
      <w:bookmarkEnd w:id="0"/>
    </w:p>
    <w:p w14:paraId="569184EE" w14:textId="27A5705C" w:rsidR="009246F2" w:rsidRPr="00045B3A" w:rsidRDefault="009246F2" w:rsidP="009246F2">
      <w:pPr>
        <w:pStyle w:val="Observation"/>
        <w:ind w:left="1701" w:hanging="1701"/>
        <w:rPr>
          <w:lang w:val="en-GB"/>
        </w:rPr>
      </w:pPr>
      <w:bookmarkStart w:id="1" w:name="_Toc136871177"/>
      <w:r w:rsidRPr="00045B3A">
        <w:t xml:space="preserve">ECC decision (22)07 </w:t>
      </w:r>
      <w:r w:rsidRPr="00045B3A">
        <w:rPr>
          <w:rFonts w:cs="Arial"/>
        </w:rPr>
        <w:t>on “</w:t>
      </w:r>
      <w:proofErr w:type="spellStart"/>
      <w:r w:rsidRPr="00045B3A">
        <w:rPr>
          <w:rFonts w:cs="Arial"/>
        </w:rPr>
        <w:t>harmonised</w:t>
      </w:r>
      <w:proofErr w:type="spellEnd"/>
      <w:r w:rsidRPr="00045B3A">
        <w:rPr>
          <w:rFonts w:cs="Arial"/>
        </w:rPr>
        <w:t xml:space="preserve"> framework on aerial UE usage in MFCN </w:t>
      </w:r>
      <w:proofErr w:type="spellStart"/>
      <w:r w:rsidRPr="00045B3A">
        <w:rPr>
          <w:rFonts w:cs="Arial"/>
        </w:rPr>
        <w:t>harmonised</w:t>
      </w:r>
      <w:proofErr w:type="spellEnd"/>
      <w:r w:rsidRPr="00045B3A">
        <w:rPr>
          <w:rFonts w:cs="Arial"/>
        </w:rPr>
        <w:t xml:space="preserve"> bands” requires</w:t>
      </w:r>
      <w:r w:rsidRPr="00045B3A">
        <w:t xml:space="preserve"> a mechanism to ensure that aerial UE</w:t>
      </w:r>
      <w:r>
        <w:t>s</w:t>
      </w:r>
      <w:r w:rsidRPr="00045B3A">
        <w:t xml:space="preserve"> respect no-transmit zones</w:t>
      </w:r>
      <w:r w:rsidRPr="00045B3A">
        <w:rPr>
          <w:lang w:val="en-GB"/>
        </w:rPr>
        <w:t>.</w:t>
      </w:r>
      <w:bookmarkEnd w:id="1"/>
    </w:p>
    <w:p w14:paraId="62567E82" w14:textId="03C521CB" w:rsidR="00FF7EEE" w:rsidRDefault="00FF7EEE" w:rsidP="00AB7C27">
      <w:pPr>
        <w:rPr>
          <w:lang w:val="en-GB"/>
        </w:rPr>
      </w:pPr>
      <w:r>
        <w:rPr>
          <w:lang w:val="en-GB"/>
        </w:rPr>
        <w:t xml:space="preserve">To make 3GPP technology fully ready to support Aerials use cases, it is important that all relevant </w:t>
      </w:r>
      <w:r w:rsidR="009605CC">
        <w:rPr>
          <w:lang w:val="en-GB"/>
        </w:rPr>
        <w:t xml:space="preserve">regulatory </w:t>
      </w:r>
      <w:r>
        <w:rPr>
          <w:lang w:val="en-GB"/>
        </w:rPr>
        <w:t xml:space="preserve">requirements are fulfilled. Given that Rel-18 UAV WI has already included objectives to </w:t>
      </w:r>
      <w:proofErr w:type="spellStart"/>
      <w:r>
        <w:rPr>
          <w:lang w:val="en-GB"/>
        </w:rPr>
        <w:t>fulfill</w:t>
      </w:r>
      <w:proofErr w:type="spellEnd"/>
      <w:r>
        <w:rPr>
          <w:lang w:val="en-GB"/>
        </w:rPr>
        <w:t xml:space="preserve"> the FAA requirements on broadcast remote ID and the additional OOBE requirements mandated by the Decision 22(07), we believe that the support of no-transmit zones should also be included. It is not advisable to postpone the support of no-transmit zones to a later release because it </w:t>
      </w:r>
      <w:r w:rsidR="00A951D5">
        <w:rPr>
          <w:lang w:val="en-GB"/>
        </w:rPr>
        <w:t>will</w:t>
      </w:r>
      <w:r>
        <w:rPr>
          <w:lang w:val="en-GB"/>
        </w:rPr>
        <w:t xml:space="preserve"> delay the deployment of cellular-connected aerial UEs. </w:t>
      </w:r>
      <w:r w:rsidR="00526EC7">
        <w:rPr>
          <w:lang w:val="en-GB"/>
        </w:rPr>
        <w:t xml:space="preserve">Furthermore, </w:t>
      </w:r>
      <w:r w:rsidR="00A951D5">
        <w:rPr>
          <w:lang w:val="en-GB"/>
        </w:rPr>
        <w:t>since the ECC Decision covers both LTE and NR, no-transmit zones should be supported by the two RATs</w:t>
      </w:r>
      <w:r w:rsidR="00526EC7">
        <w:rPr>
          <w:lang w:val="en-GB"/>
        </w:rPr>
        <w:t>, as in the case of BRID and OOBE.</w:t>
      </w:r>
    </w:p>
    <w:p w14:paraId="7FC4B376" w14:textId="3A85B488" w:rsidR="00FF7EEE" w:rsidRDefault="00FF7EEE" w:rsidP="00FF7EEE">
      <w:pPr>
        <w:pStyle w:val="Observation"/>
        <w:ind w:left="1701" w:hanging="1701"/>
        <w:rPr>
          <w:lang w:val="en-GB"/>
        </w:rPr>
      </w:pPr>
      <w:bookmarkStart w:id="2" w:name="_Toc136871178"/>
      <w:r>
        <w:rPr>
          <w:lang w:val="en-GB"/>
        </w:rPr>
        <w:t xml:space="preserve">It is important that all </w:t>
      </w:r>
      <w:r w:rsidR="00526EC7">
        <w:rPr>
          <w:lang w:val="en-GB"/>
        </w:rPr>
        <w:t xml:space="preserve">regulatory </w:t>
      </w:r>
      <w:r>
        <w:rPr>
          <w:lang w:val="en-GB"/>
        </w:rPr>
        <w:t>requirements related to aerial UEs are fulfilled by the same release (Rel-18)</w:t>
      </w:r>
      <w:r w:rsidR="00526EC7">
        <w:rPr>
          <w:lang w:val="en-GB"/>
        </w:rPr>
        <w:t xml:space="preserve"> </w:t>
      </w:r>
      <w:r w:rsidR="00A951D5">
        <w:rPr>
          <w:lang w:val="en-GB"/>
        </w:rPr>
        <w:t>of</w:t>
      </w:r>
      <w:r w:rsidR="00526EC7">
        <w:rPr>
          <w:lang w:val="en-GB"/>
        </w:rPr>
        <w:t xml:space="preserve"> both LTE and NR.</w:t>
      </w:r>
      <w:bookmarkEnd w:id="2"/>
    </w:p>
    <w:p w14:paraId="170256E4" w14:textId="788A5587" w:rsidR="00FF7EEE" w:rsidRDefault="00DE68CD" w:rsidP="00AB7C27">
      <w:pPr>
        <w:rPr>
          <w:lang w:val="en-GB"/>
        </w:rPr>
      </w:pPr>
      <w:r>
        <w:rPr>
          <w:lang w:val="en-GB"/>
        </w:rPr>
        <w:t>Therefore, we propose to amend the Rel-18 WID</w:t>
      </w:r>
      <w:r w:rsidR="00A951D5">
        <w:rPr>
          <w:lang w:val="en-GB"/>
        </w:rPr>
        <w:t>s</w:t>
      </w:r>
      <w:r>
        <w:rPr>
          <w:lang w:val="en-GB"/>
        </w:rPr>
        <w:t xml:space="preserve"> on </w:t>
      </w:r>
      <w:r w:rsidR="00A951D5">
        <w:rPr>
          <w:lang w:val="en-GB"/>
        </w:rPr>
        <w:t xml:space="preserve">LTE and </w:t>
      </w:r>
      <w:r>
        <w:rPr>
          <w:lang w:val="en-GB"/>
        </w:rPr>
        <w:t xml:space="preserve">NR support of UAV with an objective </w:t>
      </w:r>
      <w:r w:rsidR="00A951D5">
        <w:rPr>
          <w:lang w:val="en-GB"/>
        </w:rPr>
        <w:t>of</w:t>
      </w:r>
      <w:r>
        <w:rPr>
          <w:lang w:val="en-GB"/>
        </w:rPr>
        <w:t xml:space="preserve"> support</w:t>
      </w:r>
      <w:r w:rsidR="00A951D5">
        <w:rPr>
          <w:lang w:val="en-GB"/>
        </w:rPr>
        <w:t>ing</w:t>
      </w:r>
      <w:r>
        <w:rPr>
          <w:lang w:val="en-GB"/>
        </w:rPr>
        <w:t xml:space="preserve"> no-transmit zones.</w:t>
      </w:r>
    </w:p>
    <w:p w14:paraId="6223C764" w14:textId="23C15320" w:rsidR="009246F2" w:rsidRPr="00134316" w:rsidRDefault="009246F2" w:rsidP="009246F2">
      <w:pPr>
        <w:pStyle w:val="Proposal"/>
        <w:tabs>
          <w:tab w:val="clear" w:pos="5556"/>
          <w:tab w:val="num" w:pos="1872"/>
        </w:tabs>
        <w:ind w:left="1701" w:hanging="1701"/>
        <w:rPr>
          <w:rFonts w:eastAsia="Times New Roman"/>
          <w:lang w:val="en-GB"/>
        </w:rPr>
      </w:pPr>
      <w:bookmarkStart w:id="3" w:name="_Toc134751174"/>
      <w:bookmarkStart w:id="4" w:name="_Toc136871182"/>
      <w:r>
        <w:rPr>
          <w:rFonts w:eastAsia="Times New Roman"/>
          <w:lang w:val="en-GB"/>
        </w:rPr>
        <w:t xml:space="preserve">Amend Rel-18 UAV WIDs (both LTE and NR) with </w:t>
      </w:r>
      <w:r w:rsidR="00A951D5">
        <w:rPr>
          <w:rFonts w:eastAsia="Times New Roman"/>
          <w:lang w:val="en-GB"/>
        </w:rPr>
        <w:t>the following</w:t>
      </w:r>
      <w:r>
        <w:rPr>
          <w:rFonts w:eastAsia="Times New Roman"/>
          <w:lang w:val="en-GB"/>
        </w:rPr>
        <w:t xml:space="preserve"> objective</w:t>
      </w:r>
      <w:r w:rsidR="00A951D5">
        <w:rPr>
          <w:rFonts w:eastAsia="Times New Roman"/>
          <w:lang w:val="en-GB"/>
        </w:rPr>
        <w:t>:</w:t>
      </w:r>
      <w:r>
        <w:rPr>
          <w:rFonts w:eastAsia="Times New Roman"/>
          <w:lang w:val="en-GB"/>
        </w:rPr>
        <w:t xml:space="preserve"> </w:t>
      </w:r>
      <w:r w:rsidR="00A951D5">
        <w:rPr>
          <w:rFonts w:eastAsia="Times New Roman"/>
          <w:lang w:val="en-GB"/>
        </w:rPr>
        <w:t>specify mechanisms to support</w:t>
      </w:r>
      <w:r w:rsidRPr="00134316">
        <w:rPr>
          <w:rFonts w:eastAsia="Times New Roman"/>
          <w:lang w:val="en-GB"/>
        </w:rPr>
        <w:t xml:space="preserve"> no-transmit zone</w:t>
      </w:r>
      <w:r w:rsidR="00A951D5">
        <w:rPr>
          <w:rFonts w:eastAsia="Times New Roman"/>
          <w:lang w:val="en-GB"/>
        </w:rPr>
        <w:t>s</w:t>
      </w:r>
      <w:bookmarkEnd w:id="3"/>
      <w:r>
        <w:rPr>
          <w:rFonts w:eastAsia="Times New Roman"/>
          <w:lang w:val="en-GB"/>
        </w:rPr>
        <w:t>.</w:t>
      </w:r>
      <w:bookmarkEnd w:id="4"/>
      <w:r>
        <w:rPr>
          <w:rFonts w:eastAsia="Times New Roman"/>
          <w:lang w:val="en-GB"/>
        </w:rPr>
        <w:t xml:space="preserve"> </w:t>
      </w:r>
    </w:p>
    <w:p w14:paraId="01801149" w14:textId="3344833A" w:rsidR="00D26DFD" w:rsidRDefault="009246F2" w:rsidP="00D26DFD">
      <w:pPr>
        <w:pStyle w:val="Heading1"/>
      </w:pPr>
      <w:r>
        <w:t>Mechanisms to support no-transmit zones</w:t>
      </w:r>
    </w:p>
    <w:p w14:paraId="34F6A3C9" w14:textId="3D38C5BD" w:rsidR="00BC5D96" w:rsidRDefault="00BC5D96" w:rsidP="009246F2">
      <w:r>
        <w:t xml:space="preserve">First thing to elaborate is what would </w:t>
      </w:r>
      <w:r w:rsidR="00E8022E">
        <w:t xml:space="preserve">be the impact of </w:t>
      </w:r>
      <w:r>
        <w:t xml:space="preserve">no-transmit </w:t>
      </w:r>
      <w:r w:rsidR="00E8022E">
        <w:t xml:space="preserve">zones </w:t>
      </w:r>
      <w:r w:rsidR="00861A56">
        <w:t xml:space="preserve">on UAV communications </w:t>
      </w:r>
      <w:r>
        <w:t>in practice. Appare</w:t>
      </w:r>
      <w:r w:rsidR="00677E6D">
        <w:t>n</w:t>
      </w:r>
      <w:r>
        <w:t xml:space="preserve">tly, it would cover UL traffic from a UAV in connected mode which may include heavy user plane in UL but also UAV command and control, </w:t>
      </w:r>
      <w:r w:rsidR="00B73D26">
        <w:t>and</w:t>
      </w:r>
      <w:r>
        <w:t xml:space="preserve"> control plane signaling needed to maintain the UAV in connected mode and supporting</w:t>
      </w:r>
      <w:r w:rsidR="009A2304">
        <w:t>,</w:t>
      </w:r>
      <w:r>
        <w:t xml:space="preserve"> e.g.</w:t>
      </w:r>
      <w:r w:rsidR="009A2304">
        <w:t>,</w:t>
      </w:r>
      <w:r>
        <w:t xml:space="preserve"> mobility. If the no-transmit </w:t>
      </w:r>
      <w:r w:rsidR="00481AB0">
        <w:t xml:space="preserve">zone </w:t>
      </w:r>
      <w:r>
        <w:t xml:space="preserve">is to be understood in a very strict manner it would mean UE should not perform initial access to a cell in NTZ. In that case, a UAV UE may not even camp on such cell. </w:t>
      </w:r>
      <w:r w:rsidR="00492359">
        <w:t xml:space="preserve">In a </w:t>
      </w:r>
      <w:r w:rsidR="00F52B09">
        <w:t xml:space="preserve">less strict scenario, the </w:t>
      </w:r>
      <w:r w:rsidR="00B446F1">
        <w:t xml:space="preserve">UE could access the cell but </w:t>
      </w:r>
      <w:r w:rsidR="00F52B09">
        <w:t xml:space="preserve">is </w:t>
      </w:r>
      <w:r w:rsidR="00B446F1">
        <w:t>steered to another cell for further transmissions. Note that a flying UAV could see several cells and could potentially be served by a far</w:t>
      </w:r>
      <w:r w:rsidR="009A2304">
        <w:t>-</w:t>
      </w:r>
      <w:r w:rsidR="00B446F1">
        <w:t xml:space="preserve"> away cell even if the UAV itself would be in no-transmit zone or close to it.</w:t>
      </w:r>
    </w:p>
    <w:p w14:paraId="678F05EC" w14:textId="4F563609" w:rsidR="00B446F1" w:rsidRDefault="00B446F1" w:rsidP="009246F2">
      <w:r>
        <w:t>Yet another aspect to consider is the potential interference to neighbor cells. In a case UAV is in no-transmit zone but connecting to another cell, UAV may cause unwanted interference. Also</w:t>
      </w:r>
      <w:r w:rsidR="009504FE">
        <w:t>,</w:t>
      </w:r>
      <w:r>
        <w:t xml:space="preserve"> in case UAV is close to non-transmit zone.</w:t>
      </w:r>
    </w:p>
    <w:p w14:paraId="2C85D79D" w14:textId="1DFBF13D" w:rsidR="00803CF2" w:rsidRPr="00045B3A" w:rsidRDefault="00D6442C" w:rsidP="00803CF2">
      <w:pPr>
        <w:pStyle w:val="Observation"/>
        <w:ind w:left="1701" w:hanging="1701"/>
        <w:rPr>
          <w:lang w:val="en-GB"/>
        </w:rPr>
      </w:pPr>
      <w:bookmarkStart w:id="5" w:name="_Toc136871179"/>
      <w:r>
        <w:rPr>
          <w:lang w:val="en-GB"/>
        </w:rPr>
        <w:t xml:space="preserve">NTZs </w:t>
      </w:r>
      <w:r w:rsidR="004F1D02">
        <w:rPr>
          <w:lang w:val="en-GB"/>
        </w:rPr>
        <w:t xml:space="preserve">can </w:t>
      </w:r>
      <w:r>
        <w:rPr>
          <w:lang w:val="en-GB"/>
        </w:rPr>
        <w:t xml:space="preserve">affect </w:t>
      </w:r>
      <w:r w:rsidR="004F1D02">
        <w:rPr>
          <w:lang w:val="en-GB"/>
        </w:rPr>
        <w:t>aerial UE access to a cell</w:t>
      </w:r>
      <w:r w:rsidR="00B64310">
        <w:rPr>
          <w:lang w:val="en-GB"/>
        </w:rPr>
        <w:t xml:space="preserve"> and interference to neighbouring cells</w:t>
      </w:r>
      <w:r w:rsidR="00803CF2" w:rsidRPr="00045B3A">
        <w:rPr>
          <w:lang w:val="en-GB"/>
        </w:rPr>
        <w:t>.</w:t>
      </w:r>
      <w:bookmarkEnd w:id="5"/>
    </w:p>
    <w:p w14:paraId="6F3BC98E" w14:textId="77777777" w:rsidR="00BC5D96" w:rsidRDefault="00BC5D96" w:rsidP="009246F2"/>
    <w:p w14:paraId="45D80847" w14:textId="08314808" w:rsidR="00A951D5" w:rsidRDefault="004F3815" w:rsidP="009246F2">
      <w:r>
        <w:t xml:space="preserve">Given the </w:t>
      </w:r>
      <w:r w:rsidR="000F2316">
        <w:t xml:space="preserve">analysis </w:t>
      </w:r>
      <w:r>
        <w:t>above</w:t>
      </w:r>
      <w:r w:rsidR="000F2316">
        <w:t>, we foresee</w:t>
      </w:r>
      <w:r w:rsidR="00A951D5">
        <w:t xml:space="preserve"> </w:t>
      </w:r>
      <w:r w:rsidR="005523B7">
        <w:t xml:space="preserve">two </w:t>
      </w:r>
      <w:r w:rsidR="000F2316">
        <w:t xml:space="preserve">types of </w:t>
      </w:r>
      <w:r w:rsidR="00A951D5">
        <w:t>mechanisms for an aerial UE to respect NTZ</w:t>
      </w:r>
      <w:r w:rsidR="00741DB0">
        <w:t>, which will be discussed next.</w:t>
      </w:r>
      <w:r w:rsidR="009C5C49">
        <w:t xml:space="preserve"> </w:t>
      </w:r>
    </w:p>
    <w:p w14:paraId="3268DB84" w14:textId="65A5229C" w:rsidR="00E05423" w:rsidRDefault="00741DB0" w:rsidP="009246F2">
      <w:r>
        <w:t xml:space="preserve">First, </w:t>
      </w:r>
      <w:r w:rsidR="003305BE">
        <w:t>at cell-level granularity, g</w:t>
      </w:r>
      <w:r w:rsidR="00A951D5">
        <w:t xml:space="preserve">iven that a NTZ is a geographical area with static or semi-static location, the mobile network can be well-aware of the NTZ and knows which cells overlap with the NTZ. Therefore, the network can take certain measures to bar an aerial UE from connecting to a cell which </w:t>
      </w:r>
      <w:r w:rsidR="00A9562E">
        <w:t xml:space="preserve">have </w:t>
      </w:r>
      <w:r w:rsidR="00A951D5">
        <w:t xml:space="preserve">overlaps with the NTZ. </w:t>
      </w:r>
    </w:p>
    <w:p w14:paraId="074EEF57" w14:textId="23D9FED7" w:rsidR="00A34ED4" w:rsidRPr="00045B3A" w:rsidRDefault="0014529F" w:rsidP="00A34ED4">
      <w:pPr>
        <w:pStyle w:val="Observation"/>
        <w:ind w:left="1701" w:hanging="1701"/>
        <w:rPr>
          <w:lang w:val="en-GB"/>
        </w:rPr>
      </w:pPr>
      <w:bookmarkStart w:id="6" w:name="_Toc136871180"/>
      <w:r>
        <w:rPr>
          <w:lang w:val="en-GB"/>
        </w:rPr>
        <w:t>C</w:t>
      </w:r>
      <w:r w:rsidR="00112529">
        <w:rPr>
          <w:lang w:val="en-GB"/>
        </w:rPr>
        <w:t>ell-level measure</w:t>
      </w:r>
      <w:r>
        <w:rPr>
          <w:lang w:val="en-GB"/>
        </w:rPr>
        <w:t>s</w:t>
      </w:r>
      <w:r w:rsidR="00112529">
        <w:rPr>
          <w:lang w:val="en-GB"/>
        </w:rPr>
        <w:t xml:space="preserve"> can be imposed by RAN nodes to bar</w:t>
      </w:r>
      <w:r>
        <w:rPr>
          <w:lang w:val="en-GB"/>
        </w:rPr>
        <w:t xml:space="preserve"> aerial UEs from accessing </w:t>
      </w:r>
      <w:r w:rsidR="00717534">
        <w:rPr>
          <w:lang w:val="en-GB"/>
        </w:rPr>
        <w:t>NTZ-</w:t>
      </w:r>
      <w:r w:rsidR="00D04DDB">
        <w:rPr>
          <w:lang w:val="en-GB"/>
        </w:rPr>
        <w:t>affected</w:t>
      </w:r>
      <w:r w:rsidR="00717534">
        <w:rPr>
          <w:lang w:val="en-GB"/>
        </w:rPr>
        <w:t xml:space="preserve"> cells</w:t>
      </w:r>
      <w:r w:rsidR="00A34ED4" w:rsidRPr="00045B3A">
        <w:rPr>
          <w:lang w:val="en-GB"/>
        </w:rPr>
        <w:t>.</w:t>
      </w:r>
      <w:bookmarkEnd w:id="6"/>
    </w:p>
    <w:p w14:paraId="7FB878EB" w14:textId="1E09D85F" w:rsidR="009246F2" w:rsidRPr="00045B3A" w:rsidRDefault="003B5FDC" w:rsidP="009246F2">
      <w:r>
        <w:t xml:space="preserve">Second, at a finer granularity, signaling can be defined for </w:t>
      </w:r>
      <w:r w:rsidR="009246F2" w:rsidRPr="00045B3A">
        <w:t xml:space="preserve">a connected drone </w:t>
      </w:r>
      <w:r>
        <w:t xml:space="preserve">to inform RAN nodes when the drone </w:t>
      </w:r>
      <w:r w:rsidR="009246F2" w:rsidRPr="00045B3A">
        <w:t xml:space="preserve">is entering a NTZ, </w:t>
      </w:r>
      <w:r w:rsidR="005348D0">
        <w:t xml:space="preserve">allowing </w:t>
      </w:r>
      <w:r w:rsidR="009246F2" w:rsidRPr="00045B3A">
        <w:t xml:space="preserve">the network to be prepared to maintain the connectivity with the drone (e.g., to switch to another frequency band or carrier that is allowed in the NTZ). Vice versa, knowing when the drone is leaving a NTZ enables the network to recover to a previous mode of communication with the drones. </w:t>
      </w:r>
      <w:r w:rsidR="004C7F0B">
        <w:t>This may be needed</w:t>
      </w:r>
      <w:r w:rsidR="00D408E5">
        <w:t>,</w:t>
      </w:r>
      <w:r w:rsidR="004C7F0B">
        <w:t xml:space="preserve"> e.g.</w:t>
      </w:r>
      <w:r w:rsidR="00D408E5">
        <w:t>,</w:t>
      </w:r>
      <w:r w:rsidR="004C7F0B">
        <w:t xml:space="preserve"> to monitor interference caused by UAVs near the NTZ.</w:t>
      </w:r>
    </w:p>
    <w:p w14:paraId="2680D215" w14:textId="413AB5AE" w:rsidR="009246F2" w:rsidRPr="00045B3A" w:rsidRDefault="00A5053F" w:rsidP="009246F2">
      <w:pPr>
        <w:pStyle w:val="Observation"/>
        <w:ind w:left="1701" w:hanging="1701"/>
        <w:rPr>
          <w:lang w:val="en-GB"/>
        </w:rPr>
      </w:pPr>
      <w:bookmarkStart w:id="7" w:name="_Toc123739177"/>
      <w:bookmarkStart w:id="8" w:name="_Toc134525444"/>
      <w:bookmarkStart w:id="9" w:name="_Toc134751167"/>
      <w:bookmarkStart w:id="10" w:name="_Toc136871181"/>
      <w:r>
        <w:rPr>
          <w:lang w:val="en-GB"/>
        </w:rPr>
        <w:t xml:space="preserve">Connected aerial UEs can inform RAN nodes </w:t>
      </w:r>
      <w:r w:rsidR="009246F2" w:rsidRPr="00045B3A">
        <w:rPr>
          <w:lang w:val="en-GB"/>
        </w:rPr>
        <w:t xml:space="preserve">when </w:t>
      </w:r>
      <w:r>
        <w:rPr>
          <w:lang w:val="en-GB"/>
        </w:rPr>
        <w:t>the UEs</w:t>
      </w:r>
      <w:r w:rsidR="009246F2" w:rsidRPr="00045B3A">
        <w:rPr>
          <w:lang w:val="en-GB"/>
        </w:rPr>
        <w:t xml:space="preserve"> </w:t>
      </w:r>
      <w:r>
        <w:rPr>
          <w:lang w:val="en-GB"/>
        </w:rPr>
        <w:t>are</w:t>
      </w:r>
      <w:r w:rsidR="009246F2" w:rsidRPr="00045B3A">
        <w:rPr>
          <w:lang w:val="en-GB"/>
        </w:rPr>
        <w:t xml:space="preserve"> entering or leaving no-transmit </w:t>
      </w:r>
      <w:bookmarkEnd w:id="7"/>
      <w:bookmarkEnd w:id="8"/>
      <w:bookmarkEnd w:id="9"/>
      <w:r w:rsidR="009246F2" w:rsidRPr="00045B3A">
        <w:rPr>
          <w:lang w:val="en-GB"/>
        </w:rPr>
        <w:t>zone</w:t>
      </w:r>
      <w:r>
        <w:rPr>
          <w:lang w:val="en-GB"/>
        </w:rPr>
        <w:t>s</w:t>
      </w:r>
      <w:r w:rsidR="009246F2" w:rsidRPr="00045B3A">
        <w:rPr>
          <w:lang w:val="en-GB"/>
        </w:rPr>
        <w:t>.</w:t>
      </w:r>
      <w:bookmarkEnd w:id="10"/>
    </w:p>
    <w:p w14:paraId="3A05DEE0" w14:textId="5031446E" w:rsidR="00DD76C2" w:rsidRDefault="004C7F0B">
      <w:r>
        <w:t>The above may be needed in deployments that have large cell</w:t>
      </w:r>
      <w:r w:rsidR="009E6D84">
        <w:t>s</w:t>
      </w:r>
      <w:r>
        <w:t xml:space="preserve"> serving the UAVs.</w:t>
      </w:r>
    </w:p>
    <w:p w14:paraId="4A57FADE" w14:textId="3BFF9A14" w:rsidR="009504FE" w:rsidRDefault="00751C7C">
      <w:r>
        <w:t xml:space="preserve">In our view, the first mechanism (cell-level) has </w:t>
      </w:r>
      <w:r w:rsidR="00A42EAD">
        <w:t>several advantages:</w:t>
      </w:r>
    </w:p>
    <w:p w14:paraId="06D29851" w14:textId="1184EB56" w:rsidR="00A42EAD" w:rsidRDefault="00A42EAD" w:rsidP="00A42EAD">
      <w:pPr>
        <w:pStyle w:val="ListParagraph"/>
        <w:numPr>
          <w:ilvl w:val="0"/>
          <w:numId w:val="30"/>
        </w:numPr>
      </w:pPr>
      <w:r>
        <w:t xml:space="preserve">It is applicable to </w:t>
      </w:r>
      <w:r w:rsidR="00CD0857">
        <w:t>UEs in both Connected mode and Idle mode</w:t>
      </w:r>
      <w:r w:rsidR="009841A8">
        <w:t>,</w:t>
      </w:r>
    </w:p>
    <w:p w14:paraId="56A94F43" w14:textId="01B64E17" w:rsidR="00A9216B" w:rsidRDefault="00A9216B" w:rsidP="00573416">
      <w:pPr>
        <w:pStyle w:val="ListParagraph"/>
        <w:numPr>
          <w:ilvl w:val="0"/>
          <w:numId w:val="30"/>
        </w:numPr>
      </w:pPr>
      <w:r>
        <w:t>It requires less work in RAN</w:t>
      </w:r>
      <w:r w:rsidR="000E15AC">
        <w:t xml:space="preserve">2. Specifically, only one bit in the system information </w:t>
      </w:r>
      <w:r w:rsidR="0043346C">
        <w:t xml:space="preserve">broadcasted by the network is needed to </w:t>
      </w:r>
      <w:r w:rsidR="00D04DDB">
        <w:t>bar aerial UEs from accessing the affected cells.</w:t>
      </w:r>
    </w:p>
    <w:p w14:paraId="0DD6E0BF" w14:textId="53A2055F" w:rsidR="009504FE" w:rsidRDefault="000B5846" w:rsidP="009504FE">
      <w:r>
        <w:t>Given these clear advantages, we propose to focus on the cell-level mechanism in the Rel-18 UAV WI.</w:t>
      </w:r>
    </w:p>
    <w:p w14:paraId="0778AF0B" w14:textId="20D7D325" w:rsidR="009504FE" w:rsidRPr="00045B3A" w:rsidRDefault="000A5BCE" w:rsidP="009504FE">
      <w:pPr>
        <w:pStyle w:val="Proposal"/>
        <w:tabs>
          <w:tab w:val="clear" w:pos="5556"/>
          <w:tab w:val="num" w:pos="1872"/>
        </w:tabs>
        <w:ind w:left="1701" w:hanging="1701"/>
        <w:rPr>
          <w:rFonts w:eastAsia="Times New Roman"/>
          <w:lang w:val="en-GB"/>
        </w:rPr>
      </w:pPr>
      <w:bookmarkStart w:id="11" w:name="_Toc136871183"/>
      <w:r>
        <w:rPr>
          <w:rFonts w:eastAsia="Times New Roman"/>
          <w:lang w:val="en-GB"/>
        </w:rPr>
        <w:t xml:space="preserve">RAN to task </w:t>
      </w:r>
      <w:r w:rsidR="009504FE">
        <w:rPr>
          <w:rFonts w:eastAsia="Times New Roman"/>
          <w:lang w:val="en-GB"/>
        </w:rPr>
        <w:t>RAN</w:t>
      </w:r>
      <w:r w:rsidR="00D44F19">
        <w:rPr>
          <w:rFonts w:eastAsia="Times New Roman"/>
          <w:lang w:val="en-GB"/>
        </w:rPr>
        <w:t>2</w:t>
      </w:r>
      <w:r w:rsidR="009504FE">
        <w:rPr>
          <w:rFonts w:eastAsia="Times New Roman"/>
          <w:lang w:val="en-GB"/>
        </w:rPr>
        <w:t xml:space="preserve"> to specify signal</w:t>
      </w:r>
      <w:r w:rsidR="00D44F19">
        <w:rPr>
          <w:rFonts w:eastAsia="Times New Roman"/>
          <w:lang w:val="en-GB"/>
        </w:rPr>
        <w:t>l</w:t>
      </w:r>
      <w:r w:rsidR="009504FE">
        <w:rPr>
          <w:rFonts w:eastAsia="Times New Roman"/>
          <w:lang w:val="en-GB"/>
        </w:rPr>
        <w:t>ing that allow</w:t>
      </w:r>
      <w:r w:rsidR="00D44F19">
        <w:rPr>
          <w:rFonts w:eastAsia="Times New Roman"/>
          <w:lang w:val="en-GB"/>
        </w:rPr>
        <w:t>s</w:t>
      </w:r>
      <w:r w:rsidR="009504FE">
        <w:rPr>
          <w:rFonts w:eastAsia="Times New Roman"/>
          <w:lang w:val="en-GB"/>
        </w:rPr>
        <w:t xml:space="preserve"> </w:t>
      </w:r>
      <w:r w:rsidR="00D44F19">
        <w:rPr>
          <w:rFonts w:eastAsia="Times New Roman"/>
          <w:lang w:val="en-GB"/>
        </w:rPr>
        <w:t xml:space="preserve">NTZ-affected </w:t>
      </w:r>
      <w:r w:rsidR="009504FE">
        <w:rPr>
          <w:rFonts w:eastAsia="Times New Roman"/>
          <w:lang w:val="en-GB"/>
        </w:rPr>
        <w:t>cells to bar aerial UEs</w:t>
      </w:r>
      <w:r w:rsidR="009504FE" w:rsidRPr="00045B3A">
        <w:rPr>
          <w:rFonts w:eastAsia="Times New Roman"/>
          <w:lang w:val="en-GB"/>
        </w:rPr>
        <w:t>.</w:t>
      </w:r>
      <w:bookmarkEnd w:id="11"/>
    </w:p>
    <w:p w14:paraId="7D66AE9A" w14:textId="77777777" w:rsidR="009504FE" w:rsidRDefault="009504FE" w:rsidP="00573416"/>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12" w:name="_In-sequence_SDU_delivery"/>
      <w:bookmarkEnd w:id="12"/>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4206DD4E" w14:textId="27499540" w:rsidR="00B36DB9" w:rsidRDefault="00615114">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36871176" w:history="1">
        <w:r w:rsidR="00B36DB9" w:rsidRPr="0098576C">
          <w:rPr>
            <w:rStyle w:val="Hyperlink"/>
            <w:noProof/>
          </w:rPr>
          <w:t>Observation 1</w:t>
        </w:r>
        <w:r w:rsidR="00B36DB9">
          <w:rPr>
            <w:rFonts w:asciiTheme="minorHAnsi" w:eastAsiaTheme="minorEastAsia" w:hAnsiTheme="minorHAnsi" w:cstheme="minorBidi"/>
            <w:b w:val="0"/>
            <w:noProof/>
            <w:sz w:val="22"/>
            <w:szCs w:val="22"/>
            <w:lang w:val="en-SE"/>
          </w:rPr>
          <w:tab/>
        </w:r>
        <w:r w:rsidR="00B36DB9" w:rsidRPr="0098576C">
          <w:rPr>
            <w:rStyle w:val="Hyperlink"/>
            <w:noProof/>
          </w:rPr>
          <w:t>As with additional OOBE requirements, no-transmit zones are important to protect incumbent radio systems from potential interference from aerial UEs.</w:t>
        </w:r>
      </w:hyperlink>
    </w:p>
    <w:p w14:paraId="1C64C71D" w14:textId="1A9C925F" w:rsidR="00B36DB9"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36871177" w:history="1">
        <w:r w:rsidR="00B36DB9" w:rsidRPr="0098576C">
          <w:rPr>
            <w:rStyle w:val="Hyperlink"/>
            <w:noProof/>
          </w:rPr>
          <w:t>Observation 2</w:t>
        </w:r>
        <w:r w:rsidR="00B36DB9">
          <w:rPr>
            <w:rFonts w:asciiTheme="minorHAnsi" w:eastAsiaTheme="minorEastAsia" w:hAnsiTheme="minorHAnsi" w:cstheme="minorBidi"/>
            <w:b w:val="0"/>
            <w:noProof/>
            <w:sz w:val="22"/>
            <w:szCs w:val="22"/>
            <w:lang w:val="en-SE"/>
          </w:rPr>
          <w:tab/>
        </w:r>
        <w:r w:rsidR="00B36DB9" w:rsidRPr="0098576C">
          <w:rPr>
            <w:rStyle w:val="Hyperlink"/>
            <w:noProof/>
          </w:rPr>
          <w:t xml:space="preserve">ECC decision (22)07 </w:t>
        </w:r>
        <w:r w:rsidR="00B36DB9" w:rsidRPr="0098576C">
          <w:rPr>
            <w:rStyle w:val="Hyperlink"/>
            <w:rFonts w:cs="Arial"/>
            <w:noProof/>
          </w:rPr>
          <w:t>on “harmonised framework on aerial UE usage in MFCN harmonised bands” requires</w:t>
        </w:r>
        <w:r w:rsidR="00B36DB9" w:rsidRPr="0098576C">
          <w:rPr>
            <w:rStyle w:val="Hyperlink"/>
            <w:noProof/>
          </w:rPr>
          <w:t xml:space="preserve"> a mechanism to ensure that aerial UEs respect no-transmit zones.</w:t>
        </w:r>
      </w:hyperlink>
    </w:p>
    <w:p w14:paraId="61376BD7" w14:textId="5F2E0512" w:rsidR="00B36DB9"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36871178" w:history="1">
        <w:r w:rsidR="00B36DB9" w:rsidRPr="0098576C">
          <w:rPr>
            <w:rStyle w:val="Hyperlink"/>
            <w:noProof/>
          </w:rPr>
          <w:t>Observation 3</w:t>
        </w:r>
        <w:r w:rsidR="00B36DB9">
          <w:rPr>
            <w:rFonts w:asciiTheme="minorHAnsi" w:eastAsiaTheme="minorEastAsia" w:hAnsiTheme="minorHAnsi" w:cstheme="minorBidi"/>
            <w:b w:val="0"/>
            <w:noProof/>
            <w:sz w:val="22"/>
            <w:szCs w:val="22"/>
            <w:lang w:val="en-SE"/>
          </w:rPr>
          <w:tab/>
        </w:r>
        <w:r w:rsidR="00B36DB9" w:rsidRPr="0098576C">
          <w:rPr>
            <w:rStyle w:val="Hyperlink"/>
            <w:noProof/>
          </w:rPr>
          <w:t>It is important that all regulatory requirements related to aerial UEs are fulfilled by the same release (Rel-18) of both LTE and NR.</w:t>
        </w:r>
      </w:hyperlink>
    </w:p>
    <w:p w14:paraId="2630FBD0" w14:textId="30D1A797" w:rsidR="00B36DB9"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36871179" w:history="1">
        <w:r w:rsidR="00B36DB9" w:rsidRPr="0098576C">
          <w:rPr>
            <w:rStyle w:val="Hyperlink"/>
            <w:noProof/>
          </w:rPr>
          <w:t>Observation 4</w:t>
        </w:r>
        <w:r w:rsidR="00B36DB9">
          <w:rPr>
            <w:rFonts w:asciiTheme="minorHAnsi" w:eastAsiaTheme="minorEastAsia" w:hAnsiTheme="minorHAnsi" w:cstheme="minorBidi"/>
            <w:b w:val="0"/>
            <w:noProof/>
            <w:sz w:val="22"/>
            <w:szCs w:val="22"/>
            <w:lang w:val="en-SE"/>
          </w:rPr>
          <w:tab/>
        </w:r>
        <w:r w:rsidR="00B36DB9" w:rsidRPr="0098576C">
          <w:rPr>
            <w:rStyle w:val="Hyperlink"/>
            <w:noProof/>
          </w:rPr>
          <w:t>NTZs can affect aerial UE access to a cell and interference to neighbouring cells.</w:t>
        </w:r>
      </w:hyperlink>
    </w:p>
    <w:p w14:paraId="403912D5" w14:textId="6DF772E6" w:rsidR="00B36DB9"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36871180" w:history="1">
        <w:r w:rsidR="00B36DB9" w:rsidRPr="0098576C">
          <w:rPr>
            <w:rStyle w:val="Hyperlink"/>
            <w:noProof/>
          </w:rPr>
          <w:t>Observation 5</w:t>
        </w:r>
        <w:r w:rsidR="00B36DB9">
          <w:rPr>
            <w:rFonts w:asciiTheme="minorHAnsi" w:eastAsiaTheme="minorEastAsia" w:hAnsiTheme="minorHAnsi" w:cstheme="minorBidi"/>
            <w:b w:val="0"/>
            <w:noProof/>
            <w:sz w:val="22"/>
            <w:szCs w:val="22"/>
            <w:lang w:val="en-SE"/>
          </w:rPr>
          <w:tab/>
        </w:r>
        <w:r w:rsidR="00B36DB9" w:rsidRPr="0098576C">
          <w:rPr>
            <w:rStyle w:val="Hyperlink"/>
            <w:noProof/>
          </w:rPr>
          <w:t>Cell-level measures can be imposed by RAN nodes to bar aerial UEs from accessing NTZ-affected cells.</w:t>
        </w:r>
      </w:hyperlink>
    </w:p>
    <w:p w14:paraId="68945F07" w14:textId="18D2C044" w:rsidR="00B36DB9"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36871181" w:history="1">
        <w:r w:rsidR="00B36DB9" w:rsidRPr="0098576C">
          <w:rPr>
            <w:rStyle w:val="Hyperlink"/>
            <w:noProof/>
          </w:rPr>
          <w:t>Observation 6</w:t>
        </w:r>
        <w:r w:rsidR="00B36DB9">
          <w:rPr>
            <w:rFonts w:asciiTheme="minorHAnsi" w:eastAsiaTheme="minorEastAsia" w:hAnsiTheme="minorHAnsi" w:cstheme="minorBidi"/>
            <w:b w:val="0"/>
            <w:noProof/>
            <w:sz w:val="22"/>
            <w:szCs w:val="22"/>
            <w:lang w:val="en-SE"/>
          </w:rPr>
          <w:tab/>
        </w:r>
        <w:r w:rsidR="00B36DB9" w:rsidRPr="0098576C">
          <w:rPr>
            <w:rStyle w:val="Hyperlink"/>
            <w:noProof/>
          </w:rPr>
          <w:t>Connected aerial UEs can inform RAN nodes when the UEs are entering or leaving no-transmit zones.</w:t>
        </w:r>
      </w:hyperlink>
    </w:p>
    <w:p w14:paraId="2F11329F" w14:textId="1F0E6DBB" w:rsidR="00615114" w:rsidRDefault="00615114" w:rsidP="00615114">
      <w:pPr>
        <w:pStyle w:val="BodyText"/>
        <w:rPr>
          <w:b/>
          <w:bCs/>
        </w:rPr>
      </w:pPr>
      <w:r>
        <w:rPr>
          <w:b/>
          <w:bCs/>
        </w:rPr>
        <w:fldChar w:fldCharType="end"/>
      </w: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60CCDD38" w14:textId="632B9331" w:rsidR="00B36DB9" w:rsidRDefault="00615114">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\n \h \z \t "Proposal" \c </w:instrText>
      </w:r>
      <w:r>
        <w:rPr>
          <w:b w:val="0"/>
          <w:bCs/>
        </w:rPr>
        <w:fldChar w:fldCharType="separate"/>
      </w:r>
      <w:hyperlink w:anchor="_Toc136871182" w:history="1">
        <w:r w:rsidR="00B36DB9" w:rsidRPr="00D236A8">
          <w:rPr>
            <w:rStyle w:val="Hyperlink"/>
            <w:rFonts w:eastAsia="Times New Roman"/>
            <w:noProof/>
          </w:rPr>
          <w:t>Proposal 1</w:t>
        </w:r>
        <w:r w:rsidR="00B36DB9">
          <w:rPr>
            <w:rFonts w:asciiTheme="minorHAnsi" w:eastAsiaTheme="minorEastAsia" w:hAnsiTheme="minorHAnsi" w:cstheme="minorBidi"/>
            <w:b w:val="0"/>
            <w:noProof/>
            <w:sz w:val="22"/>
            <w:szCs w:val="22"/>
            <w:lang w:val="en-SE"/>
          </w:rPr>
          <w:tab/>
        </w:r>
        <w:r w:rsidR="00B36DB9" w:rsidRPr="00D236A8">
          <w:rPr>
            <w:rStyle w:val="Hyperlink"/>
            <w:rFonts w:eastAsia="Times New Roman"/>
            <w:noProof/>
          </w:rPr>
          <w:t>Amend Rel-18 UAV WIDs (both LTE and NR) with the following objective: specify mechanisms to support no-transmit zones.</w:t>
        </w:r>
      </w:hyperlink>
    </w:p>
    <w:p w14:paraId="2E4F8C6E" w14:textId="268A1CBC" w:rsidR="00B36DB9"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36871183" w:history="1">
        <w:r w:rsidR="00B36DB9" w:rsidRPr="00D236A8">
          <w:rPr>
            <w:rStyle w:val="Hyperlink"/>
            <w:rFonts w:eastAsia="Times New Roman"/>
            <w:noProof/>
          </w:rPr>
          <w:t>Proposal 2</w:t>
        </w:r>
        <w:r w:rsidR="00B36DB9">
          <w:rPr>
            <w:rFonts w:asciiTheme="minorHAnsi" w:eastAsiaTheme="minorEastAsia" w:hAnsiTheme="minorHAnsi" w:cstheme="minorBidi"/>
            <w:b w:val="0"/>
            <w:noProof/>
            <w:sz w:val="22"/>
            <w:szCs w:val="22"/>
            <w:lang w:val="en-SE"/>
          </w:rPr>
          <w:tab/>
        </w:r>
        <w:r w:rsidR="00B36DB9" w:rsidRPr="00D236A8">
          <w:rPr>
            <w:rStyle w:val="Hyperlink"/>
            <w:rFonts w:eastAsia="Times New Roman"/>
            <w:noProof/>
          </w:rPr>
          <w:t>RAN to task RAN2 to specify signalling that allows NTZ-affected cells to bar aerial UEs.</w:t>
        </w:r>
      </w:hyperlink>
    </w:p>
    <w:p w14:paraId="0973D097" w14:textId="3CCB1EB2" w:rsidR="00F507D1" w:rsidRPr="00CE0424" w:rsidRDefault="00615114" w:rsidP="00615114">
      <w:pPr>
        <w:pStyle w:val="Heading1"/>
      </w:pPr>
      <w:r>
        <w:rPr>
          <w:b/>
          <w:bCs/>
          <w:lang w:val="en-US"/>
        </w:rPr>
        <w:fldChar w:fldCharType="end"/>
      </w:r>
      <w:r w:rsidR="00F507D1" w:rsidRPr="00CE0424">
        <w:t>References</w:t>
      </w:r>
    </w:p>
    <w:p w14:paraId="4C9C934D" w14:textId="77777777" w:rsidR="005B572D" w:rsidRDefault="005B572D" w:rsidP="005B572D">
      <w:pPr>
        <w:pStyle w:val="Reference"/>
      </w:pPr>
      <w:bookmarkStart w:id="13" w:name="_Ref136503319"/>
      <w:bookmarkStart w:id="14" w:name="_Ref509923152"/>
      <w:bookmarkStart w:id="15" w:name="_Ref110426397"/>
      <w:bookmarkStart w:id="16" w:name="_Ref505610477"/>
      <w:bookmarkStart w:id="17" w:name="_Ref174151459"/>
      <w:bookmarkStart w:id="18" w:name="_Ref189809556"/>
      <w:r>
        <w:t xml:space="preserve">RP-230782, </w:t>
      </w:r>
      <w:r>
        <w:rPr>
          <w:rFonts w:eastAsia="Batang" w:cs="Arial"/>
          <w:bCs/>
        </w:rPr>
        <w:t>Revised</w:t>
      </w:r>
      <w:r w:rsidRPr="00DF4B31">
        <w:rPr>
          <w:rFonts w:eastAsia="Batang" w:cs="Arial"/>
          <w:bCs/>
        </w:rPr>
        <w:t xml:space="preserve"> WID</w:t>
      </w:r>
      <w:r>
        <w:rPr>
          <w:rFonts w:eastAsia="Batang" w:cs="Arial"/>
          <w:bCs/>
        </w:rPr>
        <w:t>:</w:t>
      </w:r>
      <w:r w:rsidRPr="00DF4B31">
        <w:rPr>
          <w:rFonts w:eastAsia="Batang" w:cs="Arial"/>
          <w:bCs/>
        </w:rPr>
        <w:t xml:space="preserve"> NR support for UAV (Uncrewed Aerial Vehicles)</w:t>
      </w:r>
      <w:r w:rsidRPr="00DF4B31">
        <w:rPr>
          <w:bCs/>
        </w:rPr>
        <w:t>,</w:t>
      </w:r>
      <w:r>
        <w:t xml:space="preserve"> RAN#99, March 2023</w:t>
      </w:r>
      <w:bookmarkEnd w:id="13"/>
    </w:p>
    <w:bookmarkEnd w:id="14"/>
    <w:bookmarkEnd w:id="15"/>
    <w:bookmarkEnd w:id="16"/>
    <w:bookmarkEnd w:id="17"/>
    <w:bookmarkEnd w:id="18"/>
    <w:p w14:paraId="657E719F" w14:textId="15DC04A5" w:rsidR="00853ECD" w:rsidRDefault="00853ECD" w:rsidP="00D862DA">
      <w:pPr>
        <w:pStyle w:val="Reference"/>
        <w:numPr>
          <w:ilvl w:val="0"/>
          <w:numId w:val="0"/>
        </w:numPr>
      </w:pPr>
    </w:p>
    <w:p w14:paraId="34AAE731" w14:textId="1B740497" w:rsidR="00D862DA" w:rsidRDefault="00D862DA" w:rsidP="00D862DA">
      <w:pPr>
        <w:pStyle w:val="Reference"/>
        <w:numPr>
          <w:ilvl w:val="0"/>
          <w:numId w:val="0"/>
        </w:numPr>
      </w:pPr>
    </w:p>
    <w:p w14:paraId="693556BC" w14:textId="078215D7" w:rsidR="00D862DA" w:rsidRDefault="00D862DA" w:rsidP="00D862DA">
      <w:pPr>
        <w:pStyle w:val="Heading1"/>
      </w:pPr>
      <w:r>
        <w:t>Appendix</w:t>
      </w:r>
    </w:p>
    <w:p w14:paraId="248C7B46" w14:textId="445EEC23" w:rsidR="00D862DA" w:rsidRDefault="00D862DA" w:rsidP="00D862DA">
      <w:pPr>
        <w:rPr>
          <w:lang w:val="en-GB"/>
        </w:rPr>
      </w:pPr>
      <w:r>
        <w:rPr>
          <w:lang w:val="en-GB"/>
        </w:rPr>
        <w:t>Some further details on no-transmit zones from the ECC Decision 22(07)</w:t>
      </w:r>
    </w:p>
    <w:tbl>
      <w:tblPr>
        <w:tblStyle w:val="TableGrid"/>
        <w:tblW w:w="0" w:type="auto"/>
        <w:tblLook w:val="04A0" w:firstRow="1" w:lastRow="0" w:firstColumn="1" w:lastColumn="0" w:noHBand="0" w:noVBand="1"/>
      </w:tblPr>
      <w:tblGrid>
        <w:gridCol w:w="9629"/>
      </w:tblGrid>
      <w:tr w:rsidR="00D862DA" w14:paraId="5B2BE477" w14:textId="77777777" w:rsidTr="00D862DA">
        <w:tc>
          <w:tcPr>
            <w:tcW w:w="9629" w:type="dxa"/>
          </w:tcPr>
          <w:p w14:paraId="0A6EF9B0" w14:textId="6DE49757" w:rsidR="00D862DA" w:rsidRPr="00D862DA" w:rsidRDefault="00D862DA" w:rsidP="00D862DA">
            <w:pPr>
              <w:numPr>
                <w:ilvl w:val="1"/>
                <w:numId w:val="0"/>
              </w:numPr>
              <w:spacing w:before="480" w:after="240"/>
              <w:ind w:left="576" w:hanging="576"/>
              <w:jc w:val="left"/>
              <w:rPr>
                <w:rFonts w:eastAsia="Times New Roman"/>
                <w:b/>
                <w:caps/>
                <w:szCs w:val="24"/>
                <w:lang w:eastAsia="en-US"/>
              </w:rPr>
            </w:pPr>
            <w:r>
              <w:rPr>
                <w:rFonts w:eastAsia="Times New Roman"/>
                <w:b/>
                <w:caps/>
                <w:szCs w:val="24"/>
                <w:lang w:eastAsia="en-US"/>
              </w:rPr>
              <w:t xml:space="preserve">A1.2 </w:t>
            </w:r>
            <w:r w:rsidRPr="00D862DA">
              <w:rPr>
                <w:rFonts w:eastAsia="Times New Roman"/>
                <w:b/>
                <w:caps/>
                <w:szCs w:val="24"/>
                <w:lang w:eastAsia="en-US"/>
              </w:rPr>
              <w:t xml:space="preserve">Operational conditions </w:t>
            </w:r>
          </w:p>
          <w:p w14:paraId="5E6D9A18" w14:textId="77777777" w:rsidR="00D862DA" w:rsidRPr="00D862DA" w:rsidRDefault="00D862DA" w:rsidP="00D862DA">
            <w:pPr>
              <w:overflowPunct/>
              <w:autoSpaceDE/>
              <w:autoSpaceDN/>
              <w:adjustRightInd/>
              <w:spacing w:before="240" w:after="60"/>
              <w:textAlignment w:val="auto"/>
              <w:rPr>
                <w:rFonts w:eastAsia="Times New Roman"/>
                <w:szCs w:val="24"/>
                <w:lang w:val="en-GB" w:eastAsia="en-US"/>
              </w:rPr>
            </w:pPr>
            <w:r w:rsidRPr="00D862DA">
              <w:rPr>
                <w:rFonts w:eastAsia="Times New Roman"/>
                <w:szCs w:val="24"/>
                <w:lang w:val="en-GB" w:eastAsia="en-US"/>
              </w:rPr>
              <w:t>The operational conditions to be defined and implemented at national level provide additional measures to the technical conditions in order to protect other services.</w:t>
            </w:r>
          </w:p>
          <w:p w14:paraId="2DBD7DA9" w14:textId="77777777" w:rsidR="00D862DA" w:rsidRPr="00D862DA" w:rsidRDefault="00D862DA" w:rsidP="00D862DA">
            <w:pPr>
              <w:overflowPunct/>
              <w:autoSpaceDE/>
              <w:autoSpaceDN/>
              <w:adjustRightInd/>
              <w:spacing w:before="240" w:after="60"/>
              <w:textAlignment w:val="auto"/>
              <w:rPr>
                <w:rFonts w:eastAsia="Times New Roman"/>
                <w:b/>
                <w:szCs w:val="24"/>
                <w:lang w:val="en-GB" w:eastAsia="en-US"/>
              </w:rPr>
            </w:pPr>
            <w:r w:rsidRPr="00D862DA">
              <w:rPr>
                <w:rFonts w:eastAsia="Times New Roman"/>
                <w:b/>
                <w:szCs w:val="24"/>
                <w:lang w:val="en-GB" w:eastAsia="en-US"/>
              </w:rPr>
              <w:t>703-733 MHz: Protection of DTT receivers and RAS sites</w:t>
            </w:r>
          </w:p>
          <w:p w14:paraId="598A884C" w14:textId="77777777" w:rsidR="00D862DA" w:rsidRPr="00D862DA" w:rsidRDefault="00D862DA" w:rsidP="00D862DA">
            <w:pPr>
              <w:tabs>
                <w:tab w:val="num" w:pos="360"/>
              </w:tabs>
              <w:overflowPunct/>
              <w:autoSpaceDE/>
              <w:autoSpaceDN/>
              <w:adjustRightInd/>
              <w:spacing w:before="240"/>
              <w:ind w:left="360" w:hanging="360"/>
              <w:textAlignment w:val="auto"/>
              <w:rPr>
                <w:rFonts w:eastAsia="Times New Roman"/>
                <w:szCs w:val="24"/>
                <w:lang w:val="en-GB" w:eastAsia="en-US"/>
              </w:rPr>
            </w:pPr>
            <w:r w:rsidRPr="00D862DA">
              <w:rPr>
                <w:rFonts w:eastAsia="Times New Roman"/>
                <w:szCs w:val="24"/>
                <w:lang w:val="en-GB" w:eastAsia="en-US"/>
              </w:rPr>
              <w:t>Aerial UE operating in 703-733 MHz should not transmit when less than 30 m above ground level to avoid interference to DTT receivers</w:t>
            </w:r>
            <w:r w:rsidRPr="00D862DA">
              <w:rPr>
                <w:rFonts w:eastAsia="Times New Roman"/>
                <w:szCs w:val="24"/>
                <w:vertAlign w:val="superscript"/>
                <w:lang w:val="en-GB" w:eastAsia="en-US"/>
              </w:rPr>
              <w:footnoteReference w:id="2"/>
            </w:r>
            <w:r w:rsidRPr="00D862DA">
              <w:rPr>
                <w:rFonts w:eastAsia="Times New Roman"/>
                <w:szCs w:val="24"/>
                <w:lang w:val="en-GB" w:eastAsia="en-GB"/>
              </w:rPr>
              <w:t>;</w:t>
            </w:r>
          </w:p>
          <w:p w14:paraId="329BA586" w14:textId="77777777" w:rsidR="00D862DA" w:rsidRPr="00D862DA" w:rsidRDefault="00D862DA" w:rsidP="00D862DA">
            <w:pPr>
              <w:tabs>
                <w:tab w:val="num" w:pos="360"/>
              </w:tabs>
              <w:overflowPunct/>
              <w:autoSpaceDE/>
              <w:autoSpaceDN/>
              <w:adjustRightInd/>
              <w:spacing w:before="240"/>
              <w:ind w:left="360" w:hanging="360"/>
              <w:textAlignment w:val="auto"/>
              <w:rPr>
                <w:rFonts w:eastAsia="Times New Roman"/>
                <w:szCs w:val="24"/>
                <w:lang w:val="en-GB" w:eastAsia="en-US"/>
              </w:rPr>
            </w:pPr>
            <w:r w:rsidRPr="00D862DA">
              <w:rPr>
                <w:rFonts w:eastAsia="Times New Roman"/>
                <w:szCs w:val="24"/>
                <w:lang w:val="en-GB" w:eastAsia="en-US"/>
              </w:rPr>
              <w:t>Nationally determined no-transmit zones are required around RAS sites operating in 1400-1427 MHz for aerial UE operating in the 703-718 MHz frequency band, as appropriate.</w:t>
            </w:r>
          </w:p>
          <w:p w14:paraId="1829DE53" w14:textId="77777777" w:rsidR="00D862DA" w:rsidRPr="00D862DA" w:rsidRDefault="00D862DA" w:rsidP="00D862DA">
            <w:pPr>
              <w:overflowPunct/>
              <w:autoSpaceDE/>
              <w:autoSpaceDN/>
              <w:adjustRightInd/>
              <w:spacing w:before="240" w:after="60"/>
              <w:textAlignment w:val="auto"/>
              <w:rPr>
                <w:rFonts w:eastAsia="Times New Roman"/>
                <w:b/>
                <w:szCs w:val="24"/>
                <w:lang w:val="en-GB" w:eastAsia="en-US"/>
              </w:rPr>
            </w:pPr>
            <w:r w:rsidRPr="00D862DA">
              <w:rPr>
                <w:rFonts w:eastAsia="Times New Roman"/>
                <w:b/>
                <w:szCs w:val="24"/>
                <w:lang w:val="en-GB" w:eastAsia="en-US"/>
              </w:rPr>
              <w:t>832-837 MHz: Protection of RAS sites</w:t>
            </w:r>
          </w:p>
          <w:p w14:paraId="1942C50F" w14:textId="77777777" w:rsidR="00D862DA" w:rsidRPr="00D862DA" w:rsidRDefault="00D862DA" w:rsidP="00D862DA">
            <w:pPr>
              <w:tabs>
                <w:tab w:val="num" w:pos="360"/>
              </w:tabs>
              <w:overflowPunct/>
              <w:autoSpaceDE/>
              <w:autoSpaceDN/>
              <w:adjustRightInd/>
              <w:spacing w:before="240"/>
              <w:ind w:left="360" w:hanging="360"/>
              <w:textAlignment w:val="auto"/>
              <w:rPr>
                <w:rFonts w:eastAsia="Times New Roman"/>
                <w:szCs w:val="24"/>
                <w:lang w:val="en-GB" w:eastAsia="en-US"/>
              </w:rPr>
            </w:pPr>
            <w:r w:rsidRPr="00D862DA">
              <w:rPr>
                <w:rFonts w:eastAsia="Times New Roman"/>
                <w:szCs w:val="24"/>
                <w:lang w:val="en-GB" w:eastAsia="en-US"/>
              </w:rPr>
              <w:t>Nationally determined no-transmit zones are required around RAS sites operating in 1660-1670 MHz for aerial UE operating in the 832-837 MHz frequency band, as appropriate.</w:t>
            </w:r>
          </w:p>
          <w:p w14:paraId="318E9F0D" w14:textId="77777777" w:rsidR="00D862DA" w:rsidRPr="00D862DA" w:rsidRDefault="00D862DA" w:rsidP="00D862DA">
            <w:pPr>
              <w:overflowPunct/>
              <w:autoSpaceDE/>
              <w:autoSpaceDN/>
              <w:adjustRightInd/>
              <w:spacing w:before="240" w:after="60"/>
              <w:textAlignment w:val="auto"/>
              <w:rPr>
                <w:rFonts w:eastAsia="Times New Roman"/>
                <w:b/>
                <w:szCs w:val="24"/>
                <w:lang w:val="en-GB" w:eastAsia="en-US"/>
              </w:rPr>
            </w:pPr>
            <w:r w:rsidRPr="00D862DA">
              <w:rPr>
                <w:rFonts w:eastAsia="Times New Roman"/>
                <w:b/>
                <w:szCs w:val="24"/>
                <w:lang w:val="en-GB" w:eastAsia="en-US"/>
              </w:rPr>
              <w:t>2500-2570 MHz/2570-2620 MHz: Protection of RAS sites and radars</w:t>
            </w:r>
          </w:p>
          <w:p w14:paraId="47787DF4" w14:textId="77777777" w:rsidR="00D862DA" w:rsidRPr="00D862DA" w:rsidRDefault="00D862DA" w:rsidP="00D862DA">
            <w:pPr>
              <w:tabs>
                <w:tab w:val="num" w:pos="360"/>
              </w:tabs>
              <w:overflowPunct/>
              <w:autoSpaceDE/>
              <w:autoSpaceDN/>
              <w:adjustRightInd/>
              <w:spacing w:before="240"/>
              <w:ind w:left="360" w:hanging="360"/>
              <w:textAlignment w:val="auto"/>
              <w:rPr>
                <w:rFonts w:eastAsia="Times New Roman"/>
                <w:szCs w:val="24"/>
                <w:lang w:val="en-GB" w:eastAsia="en-US"/>
              </w:rPr>
            </w:pPr>
            <w:r w:rsidRPr="00D862DA">
              <w:rPr>
                <w:rFonts w:eastAsia="Times New Roman"/>
                <w:szCs w:val="24"/>
                <w:lang w:val="en-GB" w:eastAsia="en-US"/>
              </w:rPr>
              <w:t>Nationally determined no-transmit zones are required around RAS sites operating in 2690-2700 MHz for aerial UE operating in the 2500-2570 MHz or 2570-2620 MHz frequency band, as appropriate;</w:t>
            </w:r>
          </w:p>
          <w:p w14:paraId="7484D75F" w14:textId="77777777" w:rsidR="00D862DA" w:rsidRPr="00D862DA" w:rsidRDefault="00D862DA" w:rsidP="00D862DA">
            <w:pPr>
              <w:tabs>
                <w:tab w:val="num" w:pos="360"/>
              </w:tabs>
              <w:overflowPunct/>
              <w:autoSpaceDE/>
              <w:autoSpaceDN/>
              <w:adjustRightInd/>
              <w:spacing w:before="240"/>
              <w:ind w:left="360" w:hanging="360"/>
              <w:textAlignment w:val="auto"/>
              <w:rPr>
                <w:rFonts w:eastAsia="Times New Roman"/>
                <w:szCs w:val="24"/>
                <w:lang w:val="en-GB" w:eastAsia="en-US"/>
              </w:rPr>
            </w:pPr>
            <w:r w:rsidRPr="00D862DA">
              <w:rPr>
                <w:rFonts w:eastAsia="Times New Roman"/>
                <w:szCs w:val="24"/>
                <w:lang w:val="en-GB" w:eastAsia="en-US"/>
              </w:rPr>
              <w:t>Nationally determined no-transmit zones might be required around radars operating in 2700-2900 MHz for aerial UE operating in the 2500-2570 MHz or 2570-2620 MHz frequency band.</w:t>
            </w:r>
          </w:p>
          <w:p w14:paraId="412247DE" w14:textId="77777777" w:rsidR="00D862DA" w:rsidRDefault="00D862DA" w:rsidP="00D862DA">
            <w:pPr>
              <w:rPr>
                <w:lang w:val="en-GB"/>
              </w:rPr>
            </w:pPr>
          </w:p>
        </w:tc>
      </w:tr>
    </w:tbl>
    <w:p w14:paraId="0895CB91" w14:textId="77777777" w:rsidR="00D862DA" w:rsidRPr="00D862DA" w:rsidRDefault="00D862DA" w:rsidP="00D862DA">
      <w:pPr>
        <w:rPr>
          <w:lang w:val="en-GB"/>
        </w:rPr>
      </w:pPr>
    </w:p>
    <w:p w14:paraId="4CE0DAC3" w14:textId="77777777" w:rsidR="00D862DA" w:rsidRDefault="00D862DA" w:rsidP="00D862DA">
      <w:pPr>
        <w:pStyle w:val="Reference"/>
        <w:numPr>
          <w:ilvl w:val="0"/>
          <w:numId w:val="0"/>
        </w:numPr>
      </w:pPr>
    </w:p>
    <w:p w14:paraId="73F77CC7" w14:textId="77777777" w:rsidR="00C22013" w:rsidRPr="007E34FB" w:rsidRDefault="00C22013" w:rsidP="00C22013">
      <w:pPr>
        <w:pStyle w:val="Proposal"/>
        <w:numPr>
          <w:ilvl w:val="0"/>
          <w:numId w:val="0"/>
        </w:numPr>
        <w:tabs>
          <w:tab w:val="clear" w:pos="1701"/>
          <w:tab w:val="left" w:pos="1276"/>
        </w:tabs>
        <w:rPr>
          <w:b w:val="0"/>
          <w:bCs w:val="0"/>
          <w:lang w:val="en-GB"/>
        </w:rPr>
      </w:pPr>
    </w:p>
    <w:sectPr w:rsidR="00C22013" w:rsidRPr="007E34F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9DE55" w14:textId="77777777" w:rsidR="002C4C5D" w:rsidRDefault="002C4C5D">
      <w:r>
        <w:separator/>
      </w:r>
    </w:p>
  </w:endnote>
  <w:endnote w:type="continuationSeparator" w:id="0">
    <w:p w14:paraId="1292EA1C" w14:textId="77777777" w:rsidR="002C4C5D" w:rsidRDefault="002C4C5D">
      <w:r>
        <w:continuationSeparator/>
      </w:r>
    </w:p>
  </w:endnote>
  <w:endnote w:type="continuationNotice" w:id="1">
    <w:p w14:paraId="14DE376B" w14:textId="77777777" w:rsidR="002C4C5D" w:rsidRDefault="002C4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49643" w14:textId="77777777" w:rsidR="002C4C5D" w:rsidRDefault="002C4C5D">
      <w:r>
        <w:separator/>
      </w:r>
    </w:p>
  </w:footnote>
  <w:footnote w:type="continuationSeparator" w:id="0">
    <w:p w14:paraId="3EECDF71" w14:textId="77777777" w:rsidR="002C4C5D" w:rsidRDefault="002C4C5D">
      <w:r>
        <w:continuationSeparator/>
      </w:r>
    </w:p>
  </w:footnote>
  <w:footnote w:type="continuationNotice" w:id="1">
    <w:p w14:paraId="09D32111" w14:textId="77777777" w:rsidR="002C4C5D" w:rsidRDefault="002C4C5D">
      <w:pPr>
        <w:spacing w:after="0"/>
      </w:pPr>
    </w:p>
  </w:footnote>
  <w:footnote w:id="2">
    <w:p w14:paraId="274760A2" w14:textId="77777777" w:rsidR="00D862DA" w:rsidRPr="00D00B7F" w:rsidRDefault="00D862DA" w:rsidP="00D862DA">
      <w:pPr>
        <w:rPr>
          <w:lang w:val="en-GB"/>
        </w:rPr>
      </w:pPr>
      <w:r w:rsidRPr="00A65F78">
        <w:rPr>
          <w:rStyle w:val="FootnoteReference"/>
        </w:rPr>
        <w:footnoteRef/>
      </w:r>
      <w:r w:rsidRPr="00A65F78">
        <w:t xml:space="preserve"> </w:t>
      </w:r>
      <w:r w:rsidRPr="00E35304">
        <w:t>Another frequency band than 703-733 MHz shall be used for landing and take-off.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F9A72C9"/>
    <w:multiLevelType w:val="hybridMultilevel"/>
    <w:tmpl w:val="24A64E9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163F7A"/>
    <w:multiLevelType w:val="multilevel"/>
    <w:tmpl w:val="41026CEE"/>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color w:val="D2232A"/>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9E33D73"/>
    <w:multiLevelType w:val="hybridMultilevel"/>
    <w:tmpl w:val="EFD0A948"/>
    <w:lvl w:ilvl="0" w:tplc="02F843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78691420">
    <w:abstractNumId w:val="2"/>
  </w:num>
  <w:num w:numId="2" w16cid:durableId="1453016614">
    <w:abstractNumId w:val="15"/>
  </w:num>
  <w:num w:numId="3" w16cid:durableId="496112683">
    <w:abstractNumId w:val="8"/>
  </w:num>
  <w:num w:numId="4" w16cid:durableId="948196757">
    <w:abstractNumId w:val="9"/>
  </w:num>
  <w:num w:numId="5" w16cid:durableId="338043124">
    <w:abstractNumId w:val="6"/>
  </w:num>
  <w:num w:numId="6" w16cid:durableId="1850951310">
    <w:abstractNumId w:val="12"/>
  </w:num>
  <w:num w:numId="7" w16cid:durableId="1940068396">
    <w:abstractNumId w:val="17"/>
  </w:num>
  <w:num w:numId="8" w16cid:durableId="741373218">
    <w:abstractNumId w:val="7"/>
  </w:num>
  <w:num w:numId="9" w16cid:durableId="879364855">
    <w:abstractNumId w:val="16"/>
  </w:num>
  <w:num w:numId="10" w16cid:durableId="273482834">
    <w:abstractNumId w:val="19"/>
  </w:num>
  <w:num w:numId="11" w16cid:durableId="1805345413">
    <w:abstractNumId w:val="3"/>
  </w:num>
  <w:num w:numId="12" w16cid:durableId="184514838">
    <w:abstractNumId w:val="8"/>
  </w:num>
  <w:num w:numId="13" w16cid:durableId="2033990936">
    <w:abstractNumId w:val="16"/>
  </w:num>
  <w:num w:numId="14" w16cid:durableId="694035341">
    <w:abstractNumId w:val="16"/>
  </w:num>
  <w:num w:numId="15" w16cid:durableId="2000646398">
    <w:abstractNumId w:val="8"/>
  </w:num>
  <w:num w:numId="16" w16cid:durableId="1789549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9443596">
    <w:abstractNumId w:val="16"/>
  </w:num>
  <w:num w:numId="18" w16cid:durableId="1246571109">
    <w:abstractNumId w:val="8"/>
  </w:num>
  <w:num w:numId="19" w16cid:durableId="1003120304">
    <w:abstractNumId w:val="8"/>
  </w:num>
  <w:num w:numId="20" w16cid:durableId="298846591">
    <w:abstractNumId w:val="0"/>
  </w:num>
  <w:num w:numId="21" w16cid:durableId="181866832">
    <w:abstractNumId w:val="18"/>
  </w:num>
  <w:num w:numId="22" w16cid:durableId="1554193097">
    <w:abstractNumId w:val="1"/>
  </w:num>
  <w:num w:numId="23" w16cid:durableId="568198307">
    <w:abstractNumId w:val="4"/>
  </w:num>
  <w:num w:numId="24" w16cid:durableId="692345980">
    <w:abstractNumId w:val="15"/>
  </w:num>
  <w:num w:numId="25" w16cid:durableId="648557029">
    <w:abstractNumId w:val="14"/>
  </w:num>
  <w:num w:numId="26" w16cid:durableId="1508211925">
    <w:abstractNumId w:val="11"/>
  </w:num>
  <w:num w:numId="27" w16cid:durableId="247228322">
    <w:abstractNumId w:val="10"/>
  </w:num>
  <w:num w:numId="28" w16cid:durableId="1966235834">
    <w:abstractNumId w:val="5"/>
  </w:num>
  <w:num w:numId="29" w16cid:durableId="1795518004">
    <w:abstractNumId w:val="20"/>
  </w:num>
  <w:num w:numId="30" w16cid:durableId="151795756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15C2"/>
    <w:rsid w:val="00002719"/>
    <w:rsid w:val="00002A06"/>
    <w:rsid w:val="00002A37"/>
    <w:rsid w:val="00002A46"/>
    <w:rsid w:val="00002C74"/>
    <w:rsid w:val="00002FD5"/>
    <w:rsid w:val="000039F4"/>
    <w:rsid w:val="00003D49"/>
    <w:rsid w:val="00003D9D"/>
    <w:rsid w:val="00006446"/>
    <w:rsid w:val="0000682C"/>
    <w:rsid w:val="00006896"/>
    <w:rsid w:val="00006A38"/>
    <w:rsid w:val="00007CDC"/>
    <w:rsid w:val="0001153F"/>
    <w:rsid w:val="00011B28"/>
    <w:rsid w:val="00011BC2"/>
    <w:rsid w:val="0001306A"/>
    <w:rsid w:val="000145A3"/>
    <w:rsid w:val="00015D15"/>
    <w:rsid w:val="00017131"/>
    <w:rsid w:val="000177A4"/>
    <w:rsid w:val="000215E9"/>
    <w:rsid w:val="00021BF1"/>
    <w:rsid w:val="000228C9"/>
    <w:rsid w:val="00022AD0"/>
    <w:rsid w:val="00024C1F"/>
    <w:rsid w:val="000254D4"/>
    <w:rsid w:val="0002564D"/>
    <w:rsid w:val="00025ECA"/>
    <w:rsid w:val="00026F67"/>
    <w:rsid w:val="00026FF5"/>
    <w:rsid w:val="00030EF8"/>
    <w:rsid w:val="000312EB"/>
    <w:rsid w:val="000325B8"/>
    <w:rsid w:val="00033505"/>
    <w:rsid w:val="00034C15"/>
    <w:rsid w:val="00035572"/>
    <w:rsid w:val="00036BA1"/>
    <w:rsid w:val="00037538"/>
    <w:rsid w:val="0003789D"/>
    <w:rsid w:val="00041025"/>
    <w:rsid w:val="000422E2"/>
    <w:rsid w:val="00042F22"/>
    <w:rsid w:val="000444EF"/>
    <w:rsid w:val="000461D3"/>
    <w:rsid w:val="00052A07"/>
    <w:rsid w:val="000534E3"/>
    <w:rsid w:val="0005398E"/>
    <w:rsid w:val="0005606A"/>
    <w:rsid w:val="00057117"/>
    <w:rsid w:val="000573DE"/>
    <w:rsid w:val="0005768F"/>
    <w:rsid w:val="00057A99"/>
    <w:rsid w:val="00057B95"/>
    <w:rsid w:val="00057DE4"/>
    <w:rsid w:val="00057E78"/>
    <w:rsid w:val="000600B9"/>
    <w:rsid w:val="00060140"/>
    <w:rsid w:val="0006016B"/>
    <w:rsid w:val="00060259"/>
    <w:rsid w:val="00061367"/>
    <w:rsid w:val="000616E7"/>
    <w:rsid w:val="000621DB"/>
    <w:rsid w:val="00062EC6"/>
    <w:rsid w:val="0006396F"/>
    <w:rsid w:val="00064341"/>
    <w:rsid w:val="0006487E"/>
    <w:rsid w:val="00065E1A"/>
    <w:rsid w:val="000663BC"/>
    <w:rsid w:val="00070A3F"/>
    <w:rsid w:val="00071FF1"/>
    <w:rsid w:val="0007758A"/>
    <w:rsid w:val="00077941"/>
    <w:rsid w:val="00077E5F"/>
    <w:rsid w:val="0008036A"/>
    <w:rsid w:val="00081AE6"/>
    <w:rsid w:val="00082788"/>
    <w:rsid w:val="000855EB"/>
    <w:rsid w:val="0008591A"/>
    <w:rsid w:val="00085925"/>
    <w:rsid w:val="000859A3"/>
    <w:rsid w:val="00085B2E"/>
    <w:rsid w:val="00085B52"/>
    <w:rsid w:val="000866F2"/>
    <w:rsid w:val="00086ADC"/>
    <w:rsid w:val="00087B74"/>
    <w:rsid w:val="0009009F"/>
    <w:rsid w:val="000900F2"/>
    <w:rsid w:val="00091295"/>
    <w:rsid w:val="00091557"/>
    <w:rsid w:val="000924C1"/>
    <w:rsid w:val="000924F0"/>
    <w:rsid w:val="00093474"/>
    <w:rsid w:val="00093F16"/>
    <w:rsid w:val="0009464D"/>
    <w:rsid w:val="0009510F"/>
    <w:rsid w:val="00095504"/>
    <w:rsid w:val="000A1553"/>
    <w:rsid w:val="000A1621"/>
    <w:rsid w:val="000A1B7B"/>
    <w:rsid w:val="000A3E44"/>
    <w:rsid w:val="000A4750"/>
    <w:rsid w:val="000A56F2"/>
    <w:rsid w:val="000A5763"/>
    <w:rsid w:val="000A5BCE"/>
    <w:rsid w:val="000A5FB1"/>
    <w:rsid w:val="000A66C7"/>
    <w:rsid w:val="000A72D2"/>
    <w:rsid w:val="000A76A0"/>
    <w:rsid w:val="000B03EA"/>
    <w:rsid w:val="000B13DA"/>
    <w:rsid w:val="000B1472"/>
    <w:rsid w:val="000B18F8"/>
    <w:rsid w:val="000B1935"/>
    <w:rsid w:val="000B2630"/>
    <w:rsid w:val="000B2719"/>
    <w:rsid w:val="000B3731"/>
    <w:rsid w:val="000B3A8F"/>
    <w:rsid w:val="000B4AB9"/>
    <w:rsid w:val="000B5846"/>
    <w:rsid w:val="000B58C3"/>
    <w:rsid w:val="000B61E9"/>
    <w:rsid w:val="000B7382"/>
    <w:rsid w:val="000B7486"/>
    <w:rsid w:val="000B7BD1"/>
    <w:rsid w:val="000B7D3C"/>
    <w:rsid w:val="000C0D23"/>
    <w:rsid w:val="000C0FD9"/>
    <w:rsid w:val="000C1486"/>
    <w:rsid w:val="000C165A"/>
    <w:rsid w:val="000C1A53"/>
    <w:rsid w:val="000C1BDA"/>
    <w:rsid w:val="000C2E19"/>
    <w:rsid w:val="000C3769"/>
    <w:rsid w:val="000C3EA0"/>
    <w:rsid w:val="000C4A79"/>
    <w:rsid w:val="000C6176"/>
    <w:rsid w:val="000C684D"/>
    <w:rsid w:val="000C6EF9"/>
    <w:rsid w:val="000C759A"/>
    <w:rsid w:val="000C7DD7"/>
    <w:rsid w:val="000D0BBC"/>
    <w:rsid w:val="000D0D07"/>
    <w:rsid w:val="000D1195"/>
    <w:rsid w:val="000D1EDD"/>
    <w:rsid w:val="000D1EE0"/>
    <w:rsid w:val="000D1F36"/>
    <w:rsid w:val="000D2600"/>
    <w:rsid w:val="000D3A23"/>
    <w:rsid w:val="000D44D0"/>
    <w:rsid w:val="000D4797"/>
    <w:rsid w:val="000D6BFA"/>
    <w:rsid w:val="000E0527"/>
    <w:rsid w:val="000E15AC"/>
    <w:rsid w:val="000E1E92"/>
    <w:rsid w:val="000E2888"/>
    <w:rsid w:val="000E3C19"/>
    <w:rsid w:val="000E4030"/>
    <w:rsid w:val="000E4BDC"/>
    <w:rsid w:val="000F06D6"/>
    <w:rsid w:val="000F0B60"/>
    <w:rsid w:val="000F0B8E"/>
    <w:rsid w:val="000F0EB1"/>
    <w:rsid w:val="000F1106"/>
    <w:rsid w:val="000F2316"/>
    <w:rsid w:val="000F28C4"/>
    <w:rsid w:val="000F2B9F"/>
    <w:rsid w:val="000F30E4"/>
    <w:rsid w:val="000F3BE9"/>
    <w:rsid w:val="000F3C78"/>
    <w:rsid w:val="000F3F6C"/>
    <w:rsid w:val="000F4D82"/>
    <w:rsid w:val="000F4DFB"/>
    <w:rsid w:val="000F60B4"/>
    <w:rsid w:val="000F6230"/>
    <w:rsid w:val="000F6DF3"/>
    <w:rsid w:val="001005FF"/>
    <w:rsid w:val="00101ADF"/>
    <w:rsid w:val="001024A3"/>
    <w:rsid w:val="00103313"/>
    <w:rsid w:val="001041A3"/>
    <w:rsid w:val="001044E6"/>
    <w:rsid w:val="0010488A"/>
    <w:rsid w:val="001062FB"/>
    <w:rsid w:val="001063E6"/>
    <w:rsid w:val="00106C93"/>
    <w:rsid w:val="00110F4C"/>
    <w:rsid w:val="0011134E"/>
    <w:rsid w:val="00112529"/>
    <w:rsid w:val="00113CF4"/>
    <w:rsid w:val="001146AC"/>
    <w:rsid w:val="00114D8A"/>
    <w:rsid w:val="001153EA"/>
    <w:rsid w:val="00115480"/>
    <w:rsid w:val="00115643"/>
    <w:rsid w:val="00115A1C"/>
    <w:rsid w:val="00115B24"/>
    <w:rsid w:val="00115CE1"/>
    <w:rsid w:val="00116765"/>
    <w:rsid w:val="0011682A"/>
    <w:rsid w:val="001219F5"/>
    <w:rsid w:val="00121A20"/>
    <w:rsid w:val="00121E55"/>
    <w:rsid w:val="001225F1"/>
    <w:rsid w:val="0012377F"/>
    <w:rsid w:val="00124314"/>
    <w:rsid w:val="001243E1"/>
    <w:rsid w:val="001247C0"/>
    <w:rsid w:val="00125141"/>
    <w:rsid w:val="00125F92"/>
    <w:rsid w:val="00126A9D"/>
    <w:rsid w:val="00126B4A"/>
    <w:rsid w:val="00126BB4"/>
    <w:rsid w:val="001307C2"/>
    <w:rsid w:val="00132FD0"/>
    <w:rsid w:val="001344C0"/>
    <w:rsid w:val="001346FA"/>
    <w:rsid w:val="00134A25"/>
    <w:rsid w:val="00135252"/>
    <w:rsid w:val="00135460"/>
    <w:rsid w:val="001374C1"/>
    <w:rsid w:val="00137AB5"/>
    <w:rsid w:val="00137F0B"/>
    <w:rsid w:val="00140CE5"/>
    <w:rsid w:val="00141392"/>
    <w:rsid w:val="00142B88"/>
    <w:rsid w:val="00142EE2"/>
    <w:rsid w:val="00144AFC"/>
    <w:rsid w:val="0014529F"/>
    <w:rsid w:val="00145684"/>
    <w:rsid w:val="00146746"/>
    <w:rsid w:val="00147923"/>
    <w:rsid w:val="00150517"/>
    <w:rsid w:val="00151288"/>
    <w:rsid w:val="00151E23"/>
    <w:rsid w:val="001526E0"/>
    <w:rsid w:val="00152712"/>
    <w:rsid w:val="0015381E"/>
    <w:rsid w:val="001551B5"/>
    <w:rsid w:val="00155D61"/>
    <w:rsid w:val="00157318"/>
    <w:rsid w:val="00157A56"/>
    <w:rsid w:val="00157A6F"/>
    <w:rsid w:val="00162435"/>
    <w:rsid w:val="00164455"/>
    <w:rsid w:val="001653FF"/>
    <w:rsid w:val="001659C1"/>
    <w:rsid w:val="00166E75"/>
    <w:rsid w:val="001676C7"/>
    <w:rsid w:val="00172E39"/>
    <w:rsid w:val="0017338B"/>
    <w:rsid w:val="00173A8E"/>
    <w:rsid w:val="00174762"/>
    <w:rsid w:val="00176CD5"/>
    <w:rsid w:val="00177795"/>
    <w:rsid w:val="0018044B"/>
    <w:rsid w:val="00180975"/>
    <w:rsid w:val="0018138E"/>
    <w:rsid w:val="0018143F"/>
    <w:rsid w:val="00182C55"/>
    <w:rsid w:val="00182EB9"/>
    <w:rsid w:val="001900C8"/>
    <w:rsid w:val="00190AC1"/>
    <w:rsid w:val="00191187"/>
    <w:rsid w:val="00191589"/>
    <w:rsid w:val="00191ECF"/>
    <w:rsid w:val="0019341A"/>
    <w:rsid w:val="001946F5"/>
    <w:rsid w:val="00196333"/>
    <w:rsid w:val="00197081"/>
    <w:rsid w:val="00197DF9"/>
    <w:rsid w:val="001A078D"/>
    <w:rsid w:val="001A1839"/>
    <w:rsid w:val="001A1987"/>
    <w:rsid w:val="001A2564"/>
    <w:rsid w:val="001A2942"/>
    <w:rsid w:val="001A3471"/>
    <w:rsid w:val="001A3A7B"/>
    <w:rsid w:val="001A55FF"/>
    <w:rsid w:val="001A6173"/>
    <w:rsid w:val="001A67C0"/>
    <w:rsid w:val="001A6CBA"/>
    <w:rsid w:val="001A72F5"/>
    <w:rsid w:val="001A7378"/>
    <w:rsid w:val="001A78C1"/>
    <w:rsid w:val="001B0D97"/>
    <w:rsid w:val="001B10ED"/>
    <w:rsid w:val="001B1408"/>
    <w:rsid w:val="001B5A5D"/>
    <w:rsid w:val="001B5C75"/>
    <w:rsid w:val="001B690D"/>
    <w:rsid w:val="001B7479"/>
    <w:rsid w:val="001C1A71"/>
    <w:rsid w:val="001C1CE5"/>
    <w:rsid w:val="001C2AA0"/>
    <w:rsid w:val="001C3830"/>
    <w:rsid w:val="001C3D2A"/>
    <w:rsid w:val="001C4382"/>
    <w:rsid w:val="001C45C3"/>
    <w:rsid w:val="001C4F24"/>
    <w:rsid w:val="001C7665"/>
    <w:rsid w:val="001D4450"/>
    <w:rsid w:val="001D51BA"/>
    <w:rsid w:val="001D6342"/>
    <w:rsid w:val="001D6D53"/>
    <w:rsid w:val="001D719B"/>
    <w:rsid w:val="001E0CB4"/>
    <w:rsid w:val="001E1691"/>
    <w:rsid w:val="001E3497"/>
    <w:rsid w:val="001E39A3"/>
    <w:rsid w:val="001E58E2"/>
    <w:rsid w:val="001E5F81"/>
    <w:rsid w:val="001E7AED"/>
    <w:rsid w:val="001F07E3"/>
    <w:rsid w:val="001F0F67"/>
    <w:rsid w:val="001F2483"/>
    <w:rsid w:val="001F27A8"/>
    <w:rsid w:val="001F3916"/>
    <w:rsid w:val="001F3DAE"/>
    <w:rsid w:val="001F4447"/>
    <w:rsid w:val="001F4861"/>
    <w:rsid w:val="001F4B2C"/>
    <w:rsid w:val="001F4E3C"/>
    <w:rsid w:val="001F54C5"/>
    <w:rsid w:val="001F662C"/>
    <w:rsid w:val="001F6641"/>
    <w:rsid w:val="001F6E91"/>
    <w:rsid w:val="001F7017"/>
    <w:rsid w:val="001F7074"/>
    <w:rsid w:val="001F789F"/>
    <w:rsid w:val="00200490"/>
    <w:rsid w:val="00200495"/>
    <w:rsid w:val="002004D1"/>
    <w:rsid w:val="00200924"/>
    <w:rsid w:val="00201862"/>
    <w:rsid w:val="00201F3A"/>
    <w:rsid w:val="002020D9"/>
    <w:rsid w:val="0020278A"/>
    <w:rsid w:val="00203F96"/>
    <w:rsid w:val="00206000"/>
    <w:rsid w:val="002069B2"/>
    <w:rsid w:val="00207FA3"/>
    <w:rsid w:val="00210C08"/>
    <w:rsid w:val="002113D1"/>
    <w:rsid w:val="002133E6"/>
    <w:rsid w:val="00214A3B"/>
    <w:rsid w:val="00214DA8"/>
    <w:rsid w:val="00214E62"/>
    <w:rsid w:val="00215423"/>
    <w:rsid w:val="002158FA"/>
    <w:rsid w:val="002164A1"/>
    <w:rsid w:val="002171D3"/>
    <w:rsid w:val="00217F8B"/>
    <w:rsid w:val="00220600"/>
    <w:rsid w:val="00220758"/>
    <w:rsid w:val="00220AD7"/>
    <w:rsid w:val="002223B8"/>
    <w:rsid w:val="002224DB"/>
    <w:rsid w:val="00223FCB"/>
    <w:rsid w:val="00224718"/>
    <w:rsid w:val="002252C3"/>
    <w:rsid w:val="0022531C"/>
    <w:rsid w:val="0022551D"/>
    <w:rsid w:val="00225BB0"/>
    <w:rsid w:val="00225C54"/>
    <w:rsid w:val="00230145"/>
    <w:rsid w:val="00230765"/>
    <w:rsid w:val="002319E4"/>
    <w:rsid w:val="002320FF"/>
    <w:rsid w:val="00234957"/>
    <w:rsid w:val="00235632"/>
    <w:rsid w:val="00235872"/>
    <w:rsid w:val="00235D3E"/>
    <w:rsid w:val="00236F4F"/>
    <w:rsid w:val="00237752"/>
    <w:rsid w:val="00241559"/>
    <w:rsid w:val="002435B3"/>
    <w:rsid w:val="002445DF"/>
    <w:rsid w:val="0024586A"/>
    <w:rsid w:val="002458EB"/>
    <w:rsid w:val="002460A1"/>
    <w:rsid w:val="002462A8"/>
    <w:rsid w:val="002500C8"/>
    <w:rsid w:val="0025058E"/>
    <w:rsid w:val="00250982"/>
    <w:rsid w:val="00250BE2"/>
    <w:rsid w:val="002512E9"/>
    <w:rsid w:val="0025281B"/>
    <w:rsid w:val="00253450"/>
    <w:rsid w:val="00253F8C"/>
    <w:rsid w:val="00255F20"/>
    <w:rsid w:val="00256025"/>
    <w:rsid w:val="00256492"/>
    <w:rsid w:val="00256869"/>
    <w:rsid w:val="00256AA5"/>
    <w:rsid w:val="00256D19"/>
    <w:rsid w:val="00257543"/>
    <w:rsid w:val="00257613"/>
    <w:rsid w:val="002608F4"/>
    <w:rsid w:val="002617E7"/>
    <w:rsid w:val="00263A0F"/>
    <w:rsid w:val="00264228"/>
    <w:rsid w:val="00264334"/>
    <w:rsid w:val="0026473E"/>
    <w:rsid w:val="00264EF0"/>
    <w:rsid w:val="00265581"/>
    <w:rsid w:val="00265817"/>
    <w:rsid w:val="00266214"/>
    <w:rsid w:val="00267C83"/>
    <w:rsid w:val="00267D55"/>
    <w:rsid w:val="0027068D"/>
    <w:rsid w:val="0027144F"/>
    <w:rsid w:val="0027173C"/>
    <w:rsid w:val="00271F3A"/>
    <w:rsid w:val="002727D3"/>
    <w:rsid w:val="0027289C"/>
    <w:rsid w:val="00273008"/>
    <w:rsid w:val="00273278"/>
    <w:rsid w:val="002737F4"/>
    <w:rsid w:val="0027487C"/>
    <w:rsid w:val="00274C10"/>
    <w:rsid w:val="00275E06"/>
    <w:rsid w:val="002763C8"/>
    <w:rsid w:val="00277D3D"/>
    <w:rsid w:val="00280371"/>
    <w:rsid w:val="002805F5"/>
    <w:rsid w:val="00280751"/>
    <w:rsid w:val="0028093C"/>
    <w:rsid w:val="00281391"/>
    <w:rsid w:val="0028167C"/>
    <w:rsid w:val="002816CF"/>
    <w:rsid w:val="0028280A"/>
    <w:rsid w:val="00282A45"/>
    <w:rsid w:val="00282BA0"/>
    <w:rsid w:val="0028566E"/>
    <w:rsid w:val="00286ACD"/>
    <w:rsid w:val="00286BBA"/>
    <w:rsid w:val="00286E6D"/>
    <w:rsid w:val="00287838"/>
    <w:rsid w:val="00287FD6"/>
    <w:rsid w:val="00290113"/>
    <w:rsid w:val="002907B5"/>
    <w:rsid w:val="00292EB7"/>
    <w:rsid w:val="00293545"/>
    <w:rsid w:val="00293CDA"/>
    <w:rsid w:val="00293CFF"/>
    <w:rsid w:val="00294283"/>
    <w:rsid w:val="00295CCB"/>
    <w:rsid w:val="00296227"/>
    <w:rsid w:val="00296F44"/>
    <w:rsid w:val="002975DE"/>
    <w:rsid w:val="0029767F"/>
    <w:rsid w:val="0029777D"/>
    <w:rsid w:val="00297AE4"/>
    <w:rsid w:val="00297D5B"/>
    <w:rsid w:val="002A055E"/>
    <w:rsid w:val="002A16D5"/>
    <w:rsid w:val="002A1776"/>
    <w:rsid w:val="002A189D"/>
    <w:rsid w:val="002A1D4E"/>
    <w:rsid w:val="002A2869"/>
    <w:rsid w:val="002A4F6F"/>
    <w:rsid w:val="002A5300"/>
    <w:rsid w:val="002A6416"/>
    <w:rsid w:val="002A78C0"/>
    <w:rsid w:val="002B24D6"/>
    <w:rsid w:val="002B421B"/>
    <w:rsid w:val="002B4450"/>
    <w:rsid w:val="002B517D"/>
    <w:rsid w:val="002C112F"/>
    <w:rsid w:val="002C264A"/>
    <w:rsid w:val="002C31AC"/>
    <w:rsid w:val="002C3629"/>
    <w:rsid w:val="002C4097"/>
    <w:rsid w:val="002C41E6"/>
    <w:rsid w:val="002C43D4"/>
    <w:rsid w:val="002C4B7B"/>
    <w:rsid w:val="002C4C5D"/>
    <w:rsid w:val="002C57FD"/>
    <w:rsid w:val="002C72AA"/>
    <w:rsid w:val="002C7D02"/>
    <w:rsid w:val="002D071A"/>
    <w:rsid w:val="002D34B2"/>
    <w:rsid w:val="002D3D5B"/>
    <w:rsid w:val="002D5177"/>
    <w:rsid w:val="002D52D5"/>
    <w:rsid w:val="002D7637"/>
    <w:rsid w:val="002D7AE3"/>
    <w:rsid w:val="002E15D4"/>
    <w:rsid w:val="002E17F2"/>
    <w:rsid w:val="002E2A11"/>
    <w:rsid w:val="002E36D4"/>
    <w:rsid w:val="002E37B4"/>
    <w:rsid w:val="002E5682"/>
    <w:rsid w:val="002E6BC6"/>
    <w:rsid w:val="002E75F7"/>
    <w:rsid w:val="002E7CAE"/>
    <w:rsid w:val="002E7D93"/>
    <w:rsid w:val="002F05D1"/>
    <w:rsid w:val="002F176B"/>
    <w:rsid w:val="002F17CF"/>
    <w:rsid w:val="002F1A48"/>
    <w:rsid w:val="002F2771"/>
    <w:rsid w:val="002F2882"/>
    <w:rsid w:val="002F37A9"/>
    <w:rsid w:val="002F41E7"/>
    <w:rsid w:val="002F478F"/>
    <w:rsid w:val="002F61DE"/>
    <w:rsid w:val="002F6DFD"/>
    <w:rsid w:val="002F6F83"/>
    <w:rsid w:val="002F6F92"/>
    <w:rsid w:val="00300042"/>
    <w:rsid w:val="00300D28"/>
    <w:rsid w:val="00301CE6"/>
    <w:rsid w:val="00302451"/>
    <w:rsid w:val="0030256B"/>
    <w:rsid w:val="00304716"/>
    <w:rsid w:val="0030501F"/>
    <w:rsid w:val="00305D69"/>
    <w:rsid w:val="00307220"/>
    <w:rsid w:val="00307B7B"/>
    <w:rsid w:val="00307BA1"/>
    <w:rsid w:val="003102EA"/>
    <w:rsid w:val="00310F27"/>
    <w:rsid w:val="00311702"/>
    <w:rsid w:val="00311853"/>
    <w:rsid w:val="00311E82"/>
    <w:rsid w:val="00312422"/>
    <w:rsid w:val="00312E8F"/>
    <w:rsid w:val="00313324"/>
    <w:rsid w:val="003136E0"/>
    <w:rsid w:val="00313FD6"/>
    <w:rsid w:val="003143BD"/>
    <w:rsid w:val="00314718"/>
    <w:rsid w:val="00314C82"/>
    <w:rsid w:val="00315F5E"/>
    <w:rsid w:val="00316E66"/>
    <w:rsid w:val="0031776C"/>
    <w:rsid w:val="00317A53"/>
    <w:rsid w:val="00317EAE"/>
    <w:rsid w:val="003203ED"/>
    <w:rsid w:val="00320767"/>
    <w:rsid w:val="00320E4E"/>
    <w:rsid w:val="00321A2C"/>
    <w:rsid w:val="003228FE"/>
    <w:rsid w:val="00322A20"/>
    <w:rsid w:val="00322C9F"/>
    <w:rsid w:val="00324177"/>
    <w:rsid w:val="00324C0B"/>
    <w:rsid w:val="00324D23"/>
    <w:rsid w:val="00324EAC"/>
    <w:rsid w:val="003279CE"/>
    <w:rsid w:val="00327CBE"/>
    <w:rsid w:val="003305BE"/>
    <w:rsid w:val="0033087A"/>
    <w:rsid w:val="00330EC1"/>
    <w:rsid w:val="00331038"/>
    <w:rsid w:val="003313B7"/>
    <w:rsid w:val="00331751"/>
    <w:rsid w:val="00331979"/>
    <w:rsid w:val="00334579"/>
    <w:rsid w:val="003353BF"/>
    <w:rsid w:val="00335858"/>
    <w:rsid w:val="00335F80"/>
    <w:rsid w:val="00336BDA"/>
    <w:rsid w:val="00337BE6"/>
    <w:rsid w:val="003419AB"/>
    <w:rsid w:val="00342BD7"/>
    <w:rsid w:val="00343A07"/>
    <w:rsid w:val="00346DB5"/>
    <w:rsid w:val="003477B1"/>
    <w:rsid w:val="00350AF0"/>
    <w:rsid w:val="003513F0"/>
    <w:rsid w:val="0035173E"/>
    <w:rsid w:val="00351DDD"/>
    <w:rsid w:val="00352B4F"/>
    <w:rsid w:val="00353ACF"/>
    <w:rsid w:val="0035491B"/>
    <w:rsid w:val="003553F5"/>
    <w:rsid w:val="003557C5"/>
    <w:rsid w:val="003568E7"/>
    <w:rsid w:val="00356D03"/>
    <w:rsid w:val="00357380"/>
    <w:rsid w:val="003602D9"/>
    <w:rsid w:val="003604CE"/>
    <w:rsid w:val="003618C5"/>
    <w:rsid w:val="0036214D"/>
    <w:rsid w:val="0036240E"/>
    <w:rsid w:val="0036295A"/>
    <w:rsid w:val="00362F25"/>
    <w:rsid w:val="00363976"/>
    <w:rsid w:val="00363986"/>
    <w:rsid w:val="00364108"/>
    <w:rsid w:val="00364D9B"/>
    <w:rsid w:val="00364E14"/>
    <w:rsid w:val="00365BF1"/>
    <w:rsid w:val="00366FC1"/>
    <w:rsid w:val="00370E47"/>
    <w:rsid w:val="00371A58"/>
    <w:rsid w:val="003737DA"/>
    <w:rsid w:val="003742AC"/>
    <w:rsid w:val="00375188"/>
    <w:rsid w:val="003760AF"/>
    <w:rsid w:val="00377CE1"/>
    <w:rsid w:val="00377E1B"/>
    <w:rsid w:val="003809A2"/>
    <w:rsid w:val="00383AFD"/>
    <w:rsid w:val="0038498D"/>
    <w:rsid w:val="00384ED6"/>
    <w:rsid w:val="00385BF0"/>
    <w:rsid w:val="00386A44"/>
    <w:rsid w:val="00386A69"/>
    <w:rsid w:val="00386FFA"/>
    <w:rsid w:val="00387800"/>
    <w:rsid w:val="003901CC"/>
    <w:rsid w:val="00390FA7"/>
    <w:rsid w:val="00391689"/>
    <w:rsid w:val="00393338"/>
    <w:rsid w:val="00393361"/>
    <w:rsid w:val="003939FF"/>
    <w:rsid w:val="003965BA"/>
    <w:rsid w:val="00397586"/>
    <w:rsid w:val="003977A8"/>
    <w:rsid w:val="003A009F"/>
    <w:rsid w:val="003A10BA"/>
    <w:rsid w:val="003A1872"/>
    <w:rsid w:val="003A2223"/>
    <w:rsid w:val="003A2A0F"/>
    <w:rsid w:val="003A4103"/>
    <w:rsid w:val="003A45A1"/>
    <w:rsid w:val="003A4C63"/>
    <w:rsid w:val="003A4C65"/>
    <w:rsid w:val="003A5B0A"/>
    <w:rsid w:val="003A6379"/>
    <w:rsid w:val="003A6BAC"/>
    <w:rsid w:val="003A7EF3"/>
    <w:rsid w:val="003B01D4"/>
    <w:rsid w:val="003B0361"/>
    <w:rsid w:val="003B0680"/>
    <w:rsid w:val="003B1188"/>
    <w:rsid w:val="003B11A5"/>
    <w:rsid w:val="003B1286"/>
    <w:rsid w:val="003B159C"/>
    <w:rsid w:val="003B2360"/>
    <w:rsid w:val="003B23DC"/>
    <w:rsid w:val="003B2FF2"/>
    <w:rsid w:val="003B369F"/>
    <w:rsid w:val="003B36A3"/>
    <w:rsid w:val="003B460B"/>
    <w:rsid w:val="003B4CA1"/>
    <w:rsid w:val="003B5FDC"/>
    <w:rsid w:val="003B6412"/>
    <w:rsid w:val="003B710F"/>
    <w:rsid w:val="003B7FB6"/>
    <w:rsid w:val="003B7FE5"/>
    <w:rsid w:val="003C0C73"/>
    <w:rsid w:val="003C11C8"/>
    <w:rsid w:val="003C2469"/>
    <w:rsid w:val="003C2702"/>
    <w:rsid w:val="003C30E8"/>
    <w:rsid w:val="003C4684"/>
    <w:rsid w:val="003C58F6"/>
    <w:rsid w:val="003C5E60"/>
    <w:rsid w:val="003C6829"/>
    <w:rsid w:val="003C7522"/>
    <w:rsid w:val="003C7691"/>
    <w:rsid w:val="003C7806"/>
    <w:rsid w:val="003D0000"/>
    <w:rsid w:val="003D109F"/>
    <w:rsid w:val="003D1D3F"/>
    <w:rsid w:val="003D207E"/>
    <w:rsid w:val="003D2478"/>
    <w:rsid w:val="003D2E6F"/>
    <w:rsid w:val="003D3065"/>
    <w:rsid w:val="003D352C"/>
    <w:rsid w:val="003D35D6"/>
    <w:rsid w:val="003D3C45"/>
    <w:rsid w:val="003D3D83"/>
    <w:rsid w:val="003D5B1F"/>
    <w:rsid w:val="003D6036"/>
    <w:rsid w:val="003D6E44"/>
    <w:rsid w:val="003E052B"/>
    <w:rsid w:val="003E0BEC"/>
    <w:rsid w:val="003E15EE"/>
    <w:rsid w:val="003E15FA"/>
    <w:rsid w:val="003E343A"/>
    <w:rsid w:val="003E4404"/>
    <w:rsid w:val="003E55E4"/>
    <w:rsid w:val="003E6839"/>
    <w:rsid w:val="003E6BB0"/>
    <w:rsid w:val="003E74E3"/>
    <w:rsid w:val="003F05C7"/>
    <w:rsid w:val="003F0A61"/>
    <w:rsid w:val="003F1E64"/>
    <w:rsid w:val="003F26D7"/>
    <w:rsid w:val="003F294E"/>
    <w:rsid w:val="003F2CD4"/>
    <w:rsid w:val="003F2E9F"/>
    <w:rsid w:val="003F3755"/>
    <w:rsid w:val="003F6BBE"/>
    <w:rsid w:val="003F7B07"/>
    <w:rsid w:val="004000E8"/>
    <w:rsid w:val="00400284"/>
    <w:rsid w:val="00400530"/>
    <w:rsid w:val="0040214C"/>
    <w:rsid w:val="004025A6"/>
    <w:rsid w:val="00402875"/>
    <w:rsid w:val="00402DBD"/>
    <w:rsid w:val="00402DFD"/>
    <w:rsid w:val="00402E2B"/>
    <w:rsid w:val="0040318F"/>
    <w:rsid w:val="00404F51"/>
    <w:rsid w:val="0040512B"/>
    <w:rsid w:val="004058D8"/>
    <w:rsid w:val="00405CA5"/>
    <w:rsid w:val="00405D24"/>
    <w:rsid w:val="0040732F"/>
    <w:rsid w:val="00407B32"/>
    <w:rsid w:val="00407CD3"/>
    <w:rsid w:val="00410134"/>
    <w:rsid w:val="00410239"/>
    <w:rsid w:val="00410B72"/>
    <w:rsid w:val="00410F18"/>
    <w:rsid w:val="00411632"/>
    <w:rsid w:val="0041263E"/>
    <w:rsid w:val="00412943"/>
    <w:rsid w:val="00413AAC"/>
    <w:rsid w:val="00414785"/>
    <w:rsid w:val="0041494D"/>
    <w:rsid w:val="00415426"/>
    <w:rsid w:val="00416500"/>
    <w:rsid w:val="004177D6"/>
    <w:rsid w:val="00420131"/>
    <w:rsid w:val="00420616"/>
    <w:rsid w:val="00420E9C"/>
    <w:rsid w:val="00421105"/>
    <w:rsid w:val="00421158"/>
    <w:rsid w:val="0042148F"/>
    <w:rsid w:val="004242F4"/>
    <w:rsid w:val="004252E1"/>
    <w:rsid w:val="004256C9"/>
    <w:rsid w:val="00427248"/>
    <w:rsid w:val="00427507"/>
    <w:rsid w:val="00430B76"/>
    <w:rsid w:val="00430D6B"/>
    <w:rsid w:val="00431FF3"/>
    <w:rsid w:val="004320BF"/>
    <w:rsid w:val="0043346C"/>
    <w:rsid w:val="00433708"/>
    <w:rsid w:val="00434CFF"/>
    <w:rsid w:val="0043560B"/>
    <w:rsid w:val="00437447"/>
    <w:rsid w:val="004374C1"/>
    <w:rsid w:val="00437787"/>
    <w:rsid w:val="00440401"/>
    <w:rsid w:val="00441A92"/>
    <w:rsid w:val="00441AF7"/>
    <w:rsid w:val="00443E96"/>
    <w:rsid w:val="00444F56"/>
    <w:rsid w:val="00445D3D"/>
    <w:rsid w:val="00446488"/>
    <w:rsid w:val="004471CB"/>
    <w:rsid w:val="004517AA"/>
    <w:rsid w:val="00452CAC"/>
    <w:rsid w:val="00453580"/>
    <w:rsid w:val="004542FF"/>
    <w:rsid w:val="004546F9"/>
    <w:rsid w:val="00456E87"/>
    <w:rsid w:val="00457565"/>
    <w:rsid w:val="004577A1"/>
    <w:rsid w:val="00457B71"/>
    <w:rsid w:val="00460073"/>
    <w:rsid w:val="0046043B"/>
    <w:rsid w:val="00460A1B"/>
    <w:rsid w:val="00460B18"/>
    <w:rsid w:val="00463254"/>
    <w:rsid w:val="004633F0"/>
    <w:rsid w:val="0046470E"/>
    <w:rsid w:val="004664E3"/>
    <w:rsid w:val="004669E2"/>
    <w:rsid w:val="00466CAD"/>
    <w:rsid w:val="004673E2"/>
    <w:rsid w:val="004674D1"/>
    <w:rsid w:val="00470C31"/>
    <w:rsid w:val="00473367"/>
    <w:rsid w:val="004734D0"/>
    <w:rsid w:val="0047556B"/>
    <w:rsid w:val="0047584E"/>
    <w:rsid w:val="00475AE7"/>
    <w:rsid w:val="00476268"/>
    <w:rsid w:val="00476916"/>
    <w:rsid w:val="00476AE4"/>
    <w:rsid w:val="0047766A"/>
    <w:rsid w:val="004776B5"/>
    <w:rsid w:val="00477768"/>
    <w:rsid w:val="004807E1"/>
    <w:rsid w:val="0048130B"/>
    <w:rsid w:val="00481AB0"/>
    <w:rsid w:val="004825DF"/>
    <w:rsid w:val="00484716"/>
    <w:rsid w:val="00484E6F"/>
    <w:rsid w:val="004852C9"/>
    <w:rsid w:val="0048572F"/>
    <w:rsid w:val="00485E90"/>
    <w:rsid w:val="00486562"/>
    <w:rsid w:val="00490E01"/>
    <w:rsid w:val="004911DA"/>
    <w:rsid w:val="00492359"/>
    <w:rsid w:val="004924E8"/>
    <w:rsid w:val="00492BC5"/>
    <w:rsid w:val="004939E7"/>
    <w:rsid w:val="00493F2C"/>
    <w:rsid w:val="004953C9"/>
    <w:rsid w:val="00495486"/>
    <w:rsid w:val="00495585"/>
    <w:rsid w:val="004959C3"/>
    <w:rsid w:val="00495C19"/>
    <w:rsid w:val="004961A4"/>
    <w:rsid w:val="004964F1"/>
    <w:rsid w:val="0049671D"/>
    <w:rsid w:val="00497232"/>
    <w:rsid w:val="00497274"/>
    <w:rsid w:val="00497D7C"/>
    <w:rsid w:val="004A16BC"/>
    <w:rsid w:val="004A2B94"/>
    <w:rsid w:val="004A2D82"/>
    <w:rsid w:val="004A3267"/>
    <w:rsid w:val="004A497F"/>
    <w:rsid w:val="004A535C"/>
    <w:rsid w:val="004A5518"/>
    <w:rsid w:val="004A5A3F"/>
    <w:rsid w:val="004A5C70"/>
    <w:rsid w:val="004A719E"/>
    <w:rsid w:val="004B035B"/>
    <w:rsid w:val="004B3640"/>
    <w:rsid w:val="004B4D22"/>
    <w:rsid w:val="004B5DD8"/>
    <w:rsid w:val="004B63DD"/>
    <w:rsid w:val="004B7C0C"/>
    <w:rsid w:val="004B7D55"/>
    <w:rsid w:val="004B7F0E"/>
    <w:rsid w:val="004C0460"/>
    <w:rsid w:val="004C067B"/>
    <w:rsid w:val="004C068E"/>
    <w:rsid w:val="004C10B1"/>
    <w:rsid w:val="004C2DB9"/>
    <w:rsid w:val="004C3898"/>
    <w:rsid w:val="004C5E3B"/>
    <w:rsid w:val="004C6313"/>
    <w:rsid w:val="004C65ED"/>
    <w:rsid w:val="004C66D3"/>
    <w:rsid w:val="004C6888"/>
    <w:rsid w:val="004C75AF"/>
    <w:rsid w:val="004C7F0B"/>
    <w:rsid w:val="004D2B99"/>
    <w:rsid w:val="004D36B1"/>
    <w:rsid w:val="004D3B58"/>
    <w:rsid w:val="004D5A69"/>
    <w:rsid w:val="004D62A1"/>
    <w:rsid w:val="004D7EBD"/>
    <w:rsid w:val="004E16B3"/>
    <w:rsid w:val="004E2680"/>
    <w:rsid w:val="004E28F9"/>
    <w:rsid w:val="004E373B"/>
    <w:rsid w:val="004E462E"/>
    <w:rsid w:val="004E56DC"/>
    <w:rsid w:val="004E65BF"/>
    <w:rsid w:val="004E686B"/>
    <w:rsid w:val="004E76F4"/>
    <w:rsid w:val="004F07FE"/>
    <w:rsid w:val="004F0B4E"/>
    <w:rsid w:val="004F0B6C"/>
    <w:rsid w:val="004F0FAF"/>
    <w:rsid w:val="004F1D02"/>
    <w:rsid w:val="004F2078"/>
    <w:rsid w:val="004F3815"/>
    <w:rsid w:val="004F4431"/>
    <w:rsid w:val="004F4DA3"/>
    <w:rsid w:val="004F58CB"/>
    <w:rsid w:val="004F7757"/>
    <w:rsid w:val="00500746"/>
    <w:rsid w:val="00501864"/>
    <w:rsid w:val="00503219"/>
    <w:rsid w:val="0050467E"/>
    <w:rsid w:val="00506557"/>
    <w:rsid w:val="0050677A"/>
    <w:rsid w:val="005108D8"/>
    <w:rsid w:val="005116F9"/>
    <w:rsid w:val="00511DCF"/>
    <w:rsid w:val="00512476"/>
    <w:rsid w:val="00512D07"/>
    <w:rsid w:val="0051309B"/>
    <w:rsid w:val="00513750"/>
    <w:rsid w:val="005137E0"/>
    <w:rsid w:val="0051497D"/>
    <w:rsid w:val="005153A7"/>
    <w:rsid w:val="0051759C"/>
    <w:rsid w:val="005201D8"/>
    <w:rsid w:val="00520250"/>
    <w:rsid w:val="005219CF"/>
    <w:rsid w:val="005223BE"/>
    <w:rsid w:val="00522A94"/>
    <w:rsid w:val="005230B1"/>
    <w:rsid w:val="00523D86"/>
    <w:rsid w:val="00525C2A"/>
    <w:rsid w:val="0052600F"/>
    <w:rsid w:val="00526EC7"/>
    <w:rsid w:val="005273C2"/>
    <w:rsid w:val="00527B30"/>
    <w:rsid w:val="00530AA3"/>
    <w:rsid w:val="005348D0"/>
    <w:rsid w:val="00534B59"/>
    <w:rsid w:val="0053597C"/>
    <w:rsid w:val="00536759"/>
    <w:rsid w:val="005367B7"/>
    <w:rsid w:val="00536B7B"/>
    <w:rsid w:val="00537709"/>
    <w:rsid w:val="00537C62"/>
    <w:rsid w:val="005402DA"/>
    <w:rsid w:val="00541CF9"/>
    <w:rsid w:val="0054220B"/>
    <w:rsid w:val="00542327"/>
    <w:rsid w:val="0054437F"/>
    <w:rsid w:val="00544B1A"/>
    <w:rsid w:val="00546970"/>
    <w:rsid w:val="005469B2"/>
    <w:rsid w:val="00546AAA"/>
    <w:rsid w:val="00547C53"/>
    <w:rsid w:val="00547F37"/>
    <w:rsid w:val="00550394"/>
    <w:rsid w:val="005523B7"/>
    <w:rsid w:val="00552BF7"/>
    <w:rsid w:val="00553065"/>
    <w:rsid w:val="00553885"/>
    <w:rsid w:val="0055446B"/>
    <w:rsid w:val="005545D3"/>
    <w:rsid w:val="00554926"/>
    <w:rsid w:val="00554E19"/>
    <w:rsid w:val="00555239"/>
    <w:rsid w:val="005560DB"/>
    <w:rsid w:val="0055788B"/>
    <w:rsid w:val="0056040D"/>
    <w:rsid w:val="0056121F"/>
    <w:rsid w:val="005619AE"/>
    <w:rsid w:val="005623F3"/>
    <w:rsid w:val="00562C98"/>
    <w:rsid w:val="0056316B"/>
    <w:rsid w:val="005634CF"/>
    <w:rsid w:val="00564384"/>
    <w:rsid w:val="00565BCF"/>
    <w:rsid w:val="005666C6"/>
    <w:rsid w:val="00566AE5"/>
    <w:rsid w:val="005673D9"/>
    <w:rsid w:val="0057096D"/>
    <w:rsid w:val="00570AC8"/>
    <w:rsid w:val="00571127"/>
    <w:rsid w:val="00572505"/>
    <w:rsid w:val="00573416"/>
    <w:rsid w:val="00573EAF"/>
    <w:rsid w:val="00574235"/>
    <w:rsid w:val="00574CCC"/>
    <w:rsid w:val="005752CE"/>
    <w:rsid w:val="005756B1"/>
    <w:rsid w:val="00580746"/>
    <w:rsid w:val="00580D12"/>
    <w:rsid w:val="00581342"/>
    <w:rsid w:val="00582809"/>
    <w:rsid w:val="00583693"/>
    <w:rsid w:val="00586C6A"/>
    <w:rsid w:val="00586E79"/>
    <w:rsid w:val="00587254"/>
    <w:rsid w:val="0058798C"/>
    <w:rsid w:val="00587AF2"/>
    <w:rsid w:val="005900FA"/>
    <w:rsid w:val="00592DDE"/>
    <w:rsid w:val="005935A4"/>
    <w:rsid w:val="005948C2"/>
    <w:rsid w:val="00595DCA"/>
    <w:rsid w:val="0059779B"/>
    <w:rsid w:val="005A10F3"/>
    <w:rsid w:val="005A16B5"/>
    <w:rsid w:val="005A19E5"/>
    <w:rsid w:val="005A209A"/>
    <w:rsid w:val="005A2384"/>
    <w:rsid w:val="005A2B0C"/>
    <w:rsid w:val="005A40C4"/>
    <w:rsid w:val="005A46A6"/>
    <w:rsid w:val="005A5653"/>
    <w:rsid w:val="005A662D"/>
    <w:rsid w:val="005A703A"/>
    <w:rsid w:val="005A71C0"/>
    <w:rsid w:val="005A79E2"/>
    <w:rsid w:val="005B1C3F"/>
    <w:rsid w:val="005B28BF"/>
    <w:rsid w:val="005B2C02"/>
    <w:rsid w:val="005B352A"/>
    <w:rsid w:val="005B35D7"/>
    <w:rsid w:val="005B392A"/>
    <w:rsid w:val="005B3AA3"/>
    <w:rsid w:val="005B572D"/>
    <w:rsid w:val="005B591A"/>
    <w:rsid w:val="005B6E9A"/>
    <w:rsid w:val="005B6F83"/>
    <w:rsid w:val="005B70B2"/>
    <w:rsid w:val="005B7E87"/>
    <w:rsid w:val="005C1863"/>
    <w:rsid w:val="005C34CE"/>
    <w:rsid w:val="005C638F"/>
    <w:rsid w:val="005C68D4"/>
    <w:rsid w:val="005C74FB"/>
    <w:rsid w:val="005D1151"/>
    <w:rsid w:val="005D1468"/>
    <w:rsid w:val="005D1602"/>
    <w:rsid w:val="005D1658"/>
    <w:rsid w:val="005D2A40"/>
    <w:rsid w:val="005D2E26"/>
    <w:rsid w:val="005D34CD"/>
    <w:rsid w:val="005D38B9"/>
    <w:rsid w:val="005D3CCA"/>
    <w:rsid w:val="005D60D7"/>
    <w:rsid w:val="005D720A"/>
    <w:rsid w:val="005D72CF"/>
    <w:rsid w:val="005E03C7"/>
    <w:rsid w:val="005E05B9"/>
    <w:rsid w:val="005E2754"/>
    <w:rsid w:val="005E289B"/>
    <w:rsid w:val="005E385F"/>
    <w:rsid w:val="005E42DA"/>
    <w:rsid w:val="005E445B"/>
    <w:rsid w:val="005E4A19"/>
    <w:rsid w:val="005E5373"/>
    <w:rsid w:val="005E54DD"/>
    <w:rsid w:val="005E5B44"/>
    <w:rsid w:val="005E5B81"/>
    <w:rsid w:val="005E6DB1"/>
    <w:rsid w:val="005E70C1"/>
    <w:rsid w:val="005F0FD7"/>
    <w:rsid w:val="005F1080"/>
    <w:rsid w:val="005F2CB1"/>
    <w:rsid w:val="005F3025"/>
    <w:rsid w:val="005F38EB"/>
    <w:rsid w:val="005F3954"/>
    <w:rsid w:val="005F3E12"/>
    <w:rsid w:val="005F5B9C"/>
    <w:rsid w:val="005F618C"/>
    <w:rsid w:val="005F639F"/>
    <w:rsid w:val="005F70BD"/>
    <w:rsid w:val="006019C7"/>
    <w:rsid w:val="006022A1"/>
    <w:rsid w:val="0060283C"/>
    <w:rsid w:val="00602908"/>
    <w:rsid w:val="00604503"/>
    <w:rsid w:val="00604581"/>
    <w:rsid w:val="00604F14"/>
    <w:rsid w:val="006073AB"/>
    <w:rsid w:val="006101F4"/>
    <w:rsid w:val="00610A3E"/>
    <w:rsid w:val="00611479"/>
    <w:rsid w:val="006114DD"/>
    <w:rsid w:val="00611B83"/>
    <w:rsid w:val="006122C4"/>
    <w:rsid w:val="00612613"/>
    <w:rsid w:val="00613257"/>
    <w:rsid w:val="00613838"/>
    <w:rsid w:val="00613E15"/>
    <w:rsid w:val="00614045"/>
    <w:rsid w:val="00615114"/>
    <w:rsid w:val="006154A1"/>
    <w:rsid w:val="00615E72"/>
    <w:rsid w:val="0061733F"/>
    <w:rsid w:val="0062080A"/>
    <w:rsid w:val="00620A71"/>
    <w:rsid w:val="00620D80"/>
    <w:rsid w:val="00621967"/>
    <w:rsid w:val="006220DA"/>
    <w:rsid w:val="0062247D"/>
    <w:rsid w:val="00622652"/>
    <w:rsid w:val="00622A27"/>
    <w:rsid w:val="00622B6C"/>
    <w:rsid w:val="006234A6"/>
    <w:rsid w:val="00623675"/>
    <w:rsid w:val="00623A9A"/>
    <w:rsid w:val="00623DA0"/>
    <w:rsid w:val="00624D82"/>
    <w:rsid w:val="00630001"/>
    <w:rsid w:val="006311B3"/>
    <w:rsid w:val="00631828"/>
    <w:rsid w:val="00631CA0"/>
    <w:rsid w:val="0063284C"/>
    <w:rsid w:val="00636398"/>
    <w:rsid w:val="00636445"/>
    <w:rsid w:val="006368D3"/>
    <w:rsid w:val="006372B8"/>
    <w:rsid w:val="006377EC"/>
    <w:rsid w:val="0064151F"/>
    <w:rsid w:val="00641533"/>
    <w:rsid w:val="00641BFC"/>
    <w:rsid w:val="0064208D"/>
    <w:rsid w:val="00642CEF"/>
    <w:rsid w:val="00643170"/>
    <w:rsid w:val="00643475"/>
    <w:rsid w:val="0064396A"/>
    <w:rsid w:val="006446B7"/>
    <w:rsid w:val="00645207"/>
    <w:rsid w:val="00645C3C"/>
    <w:rsid w:val="0064624E"/>
    <w:rsid w:val="00647DF0"/>
    <w:rsid w:val="00650AB9"/>
    <w:rsid w:val="0065117F"/>
    <w:rsid w:val="006530A3"/>
    <w:rsid w:val="006539DA"/>
    <w:rsid w:val="00655733"/>
    <w:rsid w:val="00655ACD"/>
    <w:rsid w:val="00656A92"/>
    <w:rsid w:val="00656DA1"/>
    <w:rsid w:val="00656DDE"/>
    <w:rsid w:val="0065736B"/>
    <w:rsid w:val="0066011D"/>
    <w:rsid w:val="006605C5"/>
    <w:rsid w:val="006607C0"/>
    <w:rsid w:val="006613A6"/>
    <w:rsid w:val="006613E1"/>
    <w:rsid w:val="00661867"/>
    <w:rsid w:val="0066236C"/>
    <w:rsid w:val="006627A2"/>
    <w:rsid w:val="006634E6"/>
    <w:rsid w:val="006638F0"/>
    <w:rsid w:val="00663B1B"/>
    <w:rsid w:val="00663C07"/>
    <w:rsid w:val="006654F0"/>
    <w:rsid w:val="006655EE"/>
    <w:rsid w:val="00665BD9"/>
    <w:rsid w:val="00665EE9"/>
    <w:rsid w:val="00666EF5"/>
    <w:rsid w:val="00667886"/>
    <w:rsid w:val="00667EE7"/>
    <w:rsid w:val="0067004D"/>
    <w:rsid w:val="00670922"/>
    <w:rsid w:val="00670BE1"/>
    <w:rsid w:val="00670D81"/>
    <w:rsid w:val="00671F4E"/>
    <w:rsid w:val="0067218F"/>
    <w:rsid w:val="006741F2"/>
    <w:rsid w:val="00674250"/>
    <w:rsid w:val="00674553"/>
    <w:rsid w:val="00674CC3"/>
    <w:rsid w:val="00675C72"/>
    <w:rsid w:val="006763B5"/>
    <w:rsid w:val="006771F9"/>
    <w:rsid w:val="006776D7"/>
    <w:rsid w:val="00677E6D"/>
    <w:rsid w:val="0068069C"/>
    <w:rsid w:val="00681003"/>
    <w:rsid w:val="006817C9"/>
    <w:rsid w:val="00683ECE"/>
    <w:rsid w:val="00684603"/>
    <w:rsid w:val="00686175"/>
    <w:rsid w:val="006862F5"/>
    <w:rsid w:val="006873D2"/>
    <w:rsid w:val="00687F15"/>
    <w:rsid w:val="00687FFC"/>
    <w:rsid w:val="0069358E"/>
    <w:rsid w:val="00693925"/>
    <w:rsid w:val="00694966"/>
    <w:rsid w:val="00694FF7"/>
    <w:rsid w:val="006953CB"/>
    <w:rsid w:val="00695F95"/>
    <w:rsid w:val="00695FC2"/>
    <w:rsid w:val="00696949"/>
    <w:rsid w:val="00697052"/>
    <w:rsid w:val="006A0902"/>
    <w:rsid w:val="006A10F0"/>
    <w:rsid w:val="006A1BD7"/>
    <w:rsid w:val="006A2822"/>
    <w:rsid w:val="006A2F8A"/>
    <w:rsid w:val="006A379D"/>
    <w:rsid w:val="006A41F3"/>
    <w:rsid w:val="006A46FB"/>
    <w:rsid w:val="006A5388"/>
    <w:rsid w:val="006A5DEB"/>
    <w:rsid w:val="006A5E28"/>
    <w:rsid w:val="006A697B"/>
    <w:rsid w:val="006A768C"/>
    <w:rsid w:val="006A7AA4"/>
    <w:rsid w:val="006A7AFF"/>
    <w:rsid w:val="006B0255"/>
    <w:rsid w:val="006B0B94"/>
    <w:rsid w:val="006B1816"/>
    <w:rsid w:val="006B2099"/>
    <w:rsid w:val="006B2562"/>
    <w:rsid w:val="006B3CA8"/>
    <w:rsid w:val="006B3ECB"/>
    <w:rsid w:val="006B50CF"/>
    <w:rsid w:val="006B51AF"/>
    <w:rsid w:val="006B5933"/>
    <w:rsid w:val="006B5D95"/>
    <w:rsid w:val="006C03B8"/>
    <w:rsid w:val="006C0876"/>
    <w:rsid w:val="006C29E9"/>
    <w:rsid w:val="006C5BD7"/>
    <w:rsid w:val="006C5EC9"/>
    <w:rsid w:val="006C6059"/>
    <w:rsid w:val="006C62A8"/>
    <w:rsid w:val="006C6DDB"/>
    <w:rsid w:val="006C7522"/>
    <w:rsid w:val="006D1E26"/>
    <w:rsid w:val="006D2DC4"/>
    <w:rsid w:val="006D3311"/>
    <w:rsid w:val="006D34F8"/>
    <w:rsid w:val="006D35E9"/>
    <w:rsid w:val="006D40AA"/>
    <w:rsid w:val="006D4FE0"/>
    <w:rsid w:val="006D519C"/>
    <w:rsid w:val="006D566C"/>
    <w:rsid w:val="006D6F08"/>
    <w:rsid w:val="006D7DCF"/>
    <w:rsid w:val="006E062C"/>
    <w:rsid w:val="006E0C5F"/>
    <w:rsid w:val="006E2530"/>
    <w:rsid w:val="006E28B7"/>
    <w:rsid w:val="006E303A"/>
    <w:rsid w:val="006E325F"/>
    <w:rsid w:val="006E3310"/>
    <w:rsid w:val="006E3DB8"/>
    <w:rsid w:val="006E3EE4"/>
    <w:rsid w:val="006E3FFC"/>
    <w:rsid w:val="006E49CE"/>
    <w:rsid w:val="006E4E39"/>
    <w:rsid w:val="006E532D"/>
    <w:rsid w:val="006E565E"/>
    <w:rsid w:val="006E5A46"/>
    <w:rsid w:val="006E673D"/>
    <w:rsid w:val="006E7086"/>
    <w:rsid w:val="006E72DE"/>
    <w:rsid w:val="006E7703"/>
    <w:rsid w:val="006E7D3B"/>
    <w:rsid w:val="006F03A8"/>
    <w:rsid w:val="006F13A2"/>
    <w:rsid w:val="006F180D"/>
    <w:rsid w:val="006F1B70"/>
    <w:rsid w:val="006F2D2C"/>
    <w:rsid w:val="006F341D"/>
    <w:rsid w:val="006F3CDE"/>
    <w:rsid w:val="006F50EB"/>
    <w:rsid w:val="006F5117"/>
    <w:rsid w:val="006F5434"/>
    <w:rsid w:val="006F58D4"/>
    <w:rsid w:val="006F60F4"/>
    <w:rsid w:val="006F77B3"/>
    <w:rsid w:val="00700514"/>
    <w:rsid w:val="00700903"/>
    <w:rsid w:val="00700DF1"/>
    <w:rsid w:val="00700EF5"/>
    <w:rsid w:val="0070326B"/>
    <w:rsid w:val="0070346E"/>
    <w:rsid w:val="00703C89"/>
    <w:rsid w:val="00704EDB"/>
    <w:rsid w:val="00705076"/>
    <w:rsid w:val="007052BE"/>
    <w:rsid w:val="007057DD"/>
    <w:rsid w:val="00706101"/>
    <w:rsid w:val="00706B65"/>
    <w:rsid w:val="00707072"/>
    <w:rsid w:val="00707D61"/>
    <w:rsid w:val="007112C6"/>
    <w:rsid w:val="007121F6"/>
    <w:rsid w:val="00712287"/>
    <w:rsid w:val="00712772"/>
    <w:rsid w:val="007148D3"/>
    <w:rsid w:val="00714981"/>
    <w:rsid w:val="00715B9A"/>
    <w:rsid w:val="007171AD"/>
    <w:rsid w:val="00717534"/>
    <w:rsid w:val="0071791A"/>
    <w:rsid w:val="0072047B"/>
    <w:rsid w:val="007205D7"/>
    <w:rsid w:val="00720CE1"/>
    <w:rsid w:val="00721BEB"/>
    <w:rsid w:val="00723940"/>
    <w:rsid w:val="00724085"/>
    <w:rsid w:val="00724729"/>
    <w:rsid w:val="0072504C"/>
    <w:rsid w:val="007252F0"/>
    <w:rsid w:val="0072568A"/>
    <w:rsid w:val="00725ABB"/>
    <w:rsid w:val="00726D44"/>
    <w:rsid w:val="00726EA6"/>
    <w:rsid w:val="00727208"/>
    <w:rsid w:val="00727680"/>
    <w:rsid w:val="00730E67"/>
    <w:rsid w:val="00731A60"/>
    <w:rsid w:val="00731AA7"/>
    <w:rsid w:val="00731D77"/>
    <w:rsid w:val="00731DE8"/>
    <w:rsid w:val="00731E43"/>
    <w:rsid w:val="00732912"/>
    <w:rsid w:val="00732975"/>
    <w:rsid w:val="007348B1"/>
    <w:rsid w:val="007362A6"/>
    <w:rsid w:val="0073654B"/>
    <w:rsid w:val="00736D7D"/>
    <w:rsid w:val="00740E58"/>
    <w:rsid w:val="00741DB0"/>
    <w:rsid w:val="00741DF3"/>
    <w:rsid w:val="00742516"/>
    <w:rsid w:val="007445A0"/>
    <w:rsid w:val="0074524B"/>
    <w:rsid w:val="007461F1"/>
    <w:rsid w:val="00746793"/>
    <w:rsid w:val="00747085"/>
    <w:rsid w:val="00747298"/>
    <w:rsid w:val="00747813"/>
    <w:rsid w:val="00747D8B"/>
    <w:rsid w:val="00750836"/>
    <w:rsid w:val="00750B82"/>
    <w:rsid w:val="0075120B"/>
    <w:rsid w:val="00751228"/>
    <w:rsid w:val="00751C7C"/>
    <w:rsid w:val="00753141"/>
    <w:rsid w:val="0075326A"/>
    <w:rsid w:val="00753329"/>
    <w:rsid w:val="007534F2"/>
    <w:rsid w:val="0075584C"/>
    <w:rsid w:val="007571E1"/>
    <w:rsid w:val="00757BA6"/>
    <w:rsid w:val="007604B2"/>
    <w:rsid w:val="00760C60"/>
    <w:rsid w:val="00761464"/>
    <w:rsid w:val="00761780"/>
    <w:rsid w:val="007621CD"/>
    <w:rsid w:val="00762D5C"/>
    <w:rsid w:val="00763DD1"/>
    <w:rsid w:val="00765281"/>
    <w:rsid w:val="00765D76"/>
    <w:rsid w:val="00766BAD"/>
    <w:rsid w:val="00766C3F"/>
    <w:rsid w:val="0076747D"/>
    <w:rsid w:val="00770FC5"/>
    <w:rsid w:val="00771B5B"/>
    <w:rsid w:val="007730BD"/>
    <w:rsid w:val="0077392F"/>
    <w:rsid w:val="00773A78"/>
    <w:rsid w:val="007745F0"/>
    <w:rsid w:val="00775413"/>
    <w:rsid w:val="007755F2"/>
    <w:rsid w:val="00775B19"/>
    <w:rsid w:val="00776971"/>
    <w:rsid w:val="00780719"/>
    <w:rsid w:val="0078177E"/>
    <w:rsid w:val="00781F3F"/>
    <w:rsid w:val="0078304C"/>
    <w:rsid w:val="00783673"/>
    <w:rsid w:val="0078466D"/>
    <w:rsid w:val="007853E1"/>
    <w:rsid w:val="00785490"/>
    <w:rsid w:val="00785AB3"/>
    <w:rsid w:val="00785D95"/>
    <w:rsid w:val="0078625C"/>
    <w:rsid w:val="0078648D"/>
    <w:rsid w:val="007865DC"/>
    <w:rsid w:val="007877E8"/>
    <w:rsid w:val="007904C6"/>
    <w:rsid w:val="0079071C"/>
    <w:rsid w:val="00791BE1"/>
    <w:rsid w:val="007925EA"/>
    <w:rsid w:val="00792C16"/>
    <w:rsid w:val="00793454"/>
    <w:rsid w:val="00793548"/>
    <w:rsid w:val="00793A10"/>
    <w:rsid w:val="00793CD8"/>
    <w:rsid w:val="00794288"/>
    <w:rsid w:val="00795C92"/>
    <w:rsid w:val="0079608F"/>
    <w:rsid w:val="00796231"/>
    <w:rsid w:val="00796285"/>
    <w:rsid w:val="007A08E5"/>
    <w:rsid w:val="007A1CB3"/>
    <w:rsid w:val="007A2395"/>
    <w:rsid w:val="007A306F"/>
    <w:rsid w:val="007A43A6"/>
    <w:rsid w:val="007A4D53"/>
    <w:rsid w:val="007A569E"/>
    <w:rsid w:val="007A58A6"/>
    <w:rsid w:val="007A72D7"/>
    <w:rsid w:val="007A797B"/>
    <w:rsid w:val="007B1C7D"/>
    <w:rsid w:val="007B2D1A"/>
    <w:rsid w:val="007B3D2D"/>
    <w:rsid w:val="007B3D74"/>
    <w:rsid w:val="007B50AE"/>
    <w:rsid w:val="007B51DF"/>
    <w:rsid w:val="007B53E1"/>
    <w:rsid w:val="007B7F03"/>
    <w:rsid w:val="007C05DD"/>
    <w:rsid w:val="007C0E7B"/>
    <w:rsid w:val="007C17A5"/>
    <w:rsid w:val="007C18F2"/>
    <w:rsid w:val="007C245C"/>
    <w:rsid w:val="007C3D18"/>
    <w:rsid w:val="007C4CA9"/>
    <w:rsid w:val="007C54AD"/>
    <w:rsid w:val="007C56F7"/>
    <w:rsid w:val="007C60BF"/>
    <w:rsid w:val="007C6930"/>
    <w:rsid w:val="007C6A07"/>
    <w:rsid w:val="007C75A1"/>
    <w:rsid w:val="007C77A5"/>
    <w:rsid w:val="007D04CA"/>
    <w:rsid w:val="007D04E5"/>
    <w:rsid w:val="007D290A"/>
    <w:rsid w:val="007D36C5"/>
    <w:rsid w:val="007D38DC"/>
    <w:rsid w:val="007D3F8D"/>
    <w:rsid w:val="007D501D"/>
    <w:rsid w:val="007D57C0"/>
    <w:rsid w:val="007D5901"/>
    <w:rsid w:val="007D6C4C"/>
    <w:rsid w:val="007D7526"/>
    <w:rsid w:val="007E0DD2"/>
    <w:rsid w:val="007E24DC"/>
    <w:rsid w:val="007E2FA3"/>
    <w:rsid w:val="007E34FB"/>
    <w:rsid w:val="007E3738"/>
    <w:rsid w:val="007E3F7E"/>
    <w:rsid w:val="007E4610"/>
    <w:rsid w:val="007E4715"/>
    <w:rsid w:val="007E4C7B"/>
    <w:rsid w:val="007E505B"/>
    <w:rsid w:val="007E601F"/>
    <w:rsid w:val="007E60AE"/>
    <w:rsid w:val="007E651C"/>
    <w:rsid w:val="007E69A1"/>
    <w:rsid w:val="007E7091"/>
    <w:rsid w:val="007F07CD"/>
    <w:rsid w:val="007F2656"/>
    <w:rsid w:val="007F2E75"/>
    <w:rsid w:val="007F3E3C"/>
    <w:rsid w:val="007F4B66"/>
    <w:rsid w:val="007F4F70"/>
    <w:rsid w:val="007F5F12"/>
    <w:rsid w:val="007F5F27"/>
    <w:rsid w:val="007F6F24"/>
    <w:rsid w:val="008019F1"/>
    <w:rsid w:val="00803CF2"/>
    <w:rsid w:val="00803FAE"/>
    <w:rsid w:val="00804852"/>
    <w:rsid w:val="0080605F"/>
    <w:rsid w:val="008067B9"/>
    <w:rsid w:val="00806DF4"/>
    <w:rsid w:val="00807786"/>
    <w:rsid w:val="00807A0D"/>
    <w:rsid w:val="008109A9"/>
    <w:rsid w:val="00811BC6"/>
    <w:rsid w:val="00811FCB"/>
    <w:rsid w:val="0081247D"/>
    <w:rsid w:val="0081520B"/>
    <w:rsid w:val="008154DC"/>
    <w:rsid w:val="008155FF"/>
    <w:rsid w:val="008158D6"/>
    <w:rsid w:val="00817196"/>
    <w:rsid w:val="0082166D"/>
    <w:rsid w:val="00822C90"/>
    <w:rsid w:val="008235DB"/>
    <w:rsid w:val="00823E55"/>
    <w:rsid w:val="00824AA2"/>
    <w:rsid w:val="00824AB4"/>
    <w:rsid w:val="008259BC"/>
    <w:rsid w:val="00825C42"/>
    <w:rsid w:val="00825D25"/>
    <w:rsid w:val="00826054"/>
    <w:rsid w:val="0082781D"/>
    <w:rsid w:val="00827D6F"/>
    <w:rsid w:val="008314AB"/>
    <w:rsid w:val="00832B19"/>
    <w:rsid w:val="00834A16"/>
    <w:rsid w:val="008364F8"/>
    <w:rsid w:val="008376AC"/>
    <w:rsid w:val="00842B04"/>
    <w:rsid w:val="00843B61"/>
    <w:rsid w:val="0084426F"/>
    <w:rsid w:val="008444E8"/>
    <w:rsid w:val="00844E80"/>
    <w:rsid w:val="0084679C"/>
    <w:rsid w:val="00846FD4"/>
    <w:rsid w:val="00846FE7"/>
    <w:rsid w:val="00847529"/>
    <w:rsid w:val="008513DE"/>
    <w:rsid w:val="00851D43"/>
    <w:rsid w:val="00853AD0"/>
    <w:rsid w:val="00853ECD"/>
    <w:rsid w:val="00853EFC"/>
    <w:rsid w:val="0085417D"/>
    <w:rsid w:val="00854F97"/>
    <w:rsid w:val="00855C34"/>
    <w:rsid w:val="00856911"/>
    <w:rsid w:val="00861A56"/>
    <w:rsid w:val="008635B4"/>
    <w:rsid w:val="00863D92"/>
    <w:rsid w:val="00866925"/>
    <w:rsid w:val="008677FD"/>
    <w:rsid w:val="008706D4"/>
    <w:rsid w:val="00870F8A"/>
    <w:rsid w:val="008710A4"/>
    <w:rsid w:val="008719A4"/>
    <w:rsid w:val="00871D23"/>
    <w:rsid w:val="00872DEB"/>
    <w:rsid w:val="00874312"/>
    <w:rsid w:val="0087437C"/>
    <w:rsid w:val="00875CD7"/>
    <w:rsid w:val="0087673B"/>
    <w:rsid w:val="00876B4D"/>
    <w:rsid w:val="00876F4F"/>
    <w:rsid w:val="008775A1"/>
    <w:rsid w:val="00877F18"/>
    <w:rsid w:val="008805A3"/>
    <w:rsid w:val="0088246E"/>
    <w:rsid w:val="00884C2E"/>
    <w:rsid w:val="00890D4B"/>
    <w:rsid w:val="00891359"/>
    <w:rsid w:val="00892FCC"/>
    <w:rsid w:val="0089317C"/>
    <w:rsid w:val="00893763"/>
    <w:rsid w:val="00893802"/>
    <w:rsid w:val="00894A88"/>
    <w:rsid w:val="00894F6C"/>
    <w:rsid w:val="00895386"/>
    <w:rsid w:val="008955AB"/>
    <w:rsid w:val="008956A8"/>
    <w:rsid w:val="00896167"/>
    <w:rsid w:val="00897E1B"/>
    <w:rsid w:val="008A21FF"/>
    <w:rsid w:val="008A231F"/>
    <w:rsid w:val="008A2CE2"/>
    <w:rsid w:val="008A30AC"/>
    <w:rsid w:val="008A3728"/>
    <w:rsid w:val="008A3B8C"/>
    <w:rsid w:val="008A3C3A"/>
    <w:rsid w:val="008A44B8"/>
    <w:rsid w:val="008A4CDF"/>
    <w:rsid w:val="008A51A8"/>
    <w:rsid w:val="008A54C7"/>
    <w:rsid w:val="008A76F6"/>
    <w:rsid w:val="008A77D8"/>
    <w:rsid w:val="008B0362"/>
    <w:rsid w:val="008B0483"/>
    <w:rsid w:val="008B07C3"/>
    <w:rsid w:val="008B120C"/>
    <w:rsid w:val="008B1706"/>
    <w:rsid w:val="008B3B30"/>
    <w:rsid w:val="008B4FE6"/>
    <w:rsid w:val="008B51A0"/>
    <w:rsid w:val="008B592A"/>
    <w:rsid w:val="008B5933"/>
    <w:rsid w:val="008B5E09"/>
    <w:rsid w:val="008B7381"/>
    <w:rsid w:val="008B7732"/>
    <w:rsid w:val="008B77D1"/>
    <w:rsid w:val="008B7B5C"/>
    <w:rsid w:val="008C02BD"/>
    <w:rsid w:val="008C0C99"/>
    <w:rsid w:val="008C1180"/>
    <w:rsid w:val="008C2017"/>
    <w:rsid w:val="008C477E"/>
    <w:rsid w:val="008C4958"/>
    <w:rsid w:val="008C4BAA"/>
    <w:rsid w:val="008C5D38"/>
    <w:rsid w:val="008C5DF2"/>
    <w:rsid w:val="008C6AE8"/>
    <w:rsid w:val="008C7573"/>
    <w:rsid w:val="008C7CB5"/>
    <w:rsid w:val="008D03F2"/>
    <w:rsid w:val="008D0606"/>
    <w:rsid w:val="008D1909"/>
    <w:rsid w:val="008D2766"/>
    <w:rsid w:val="008D3464"/>
    <w:rsid w:val="008D3473"/>
    <w:rsid w:val="008D34F1"/>
    <w:rsid w:val="008D3993"/>
    <w:rsid w:val="008D39D8"/>
    <w:rsid w:val="008D4032"/>
    <w:rsid w:val="008D4CAE"/>
    <w:rsid w:val="008D4E20"/>
    <w:rsid w:val="008D6D1A"/>
    <w:rsid w:val="008D7DD6"/>
    <w:rsid w:val="008E065E"/>
    <w:rsid w:val="008E0927"/>
    <w:rsid w:val="008E0B8B"/>
    <w:rsid w:val="008E0DBE"/>
    <w:rsid w:val="008E1253"/>
    <w:rsid w:val="008E1909"/>
    <w:rsid w:val="008E2BC2"/>
    <w:rsid w:val="008E33CF"/>
    <w:rsid w:val="008E4517"/>
    <w:rsid w:val="008E4526"/>
    <w:rsid w:val="008E56E8"/>
    <w:rsid w:val="008E5BAB"/>
    <w:rsid w:val="008E79BF"/>
    <w:rsid w:val="008E7FA1"/>
    <w:rsid w:val="008F0477"/>
    <w:rsid w:val="008F1EAB"/>
    <w:rsid w:val="008F304D"/>
    <w:rsid w:val="008F312A"/>
    <w:rsid w:val="008F33DC"/>
    <w:rsid w:val="008F4215"/>
    <w:rsid w:val="008F45ED"/>
    <w:rsid w:val="008F477F"/>
    <w:rsid w:val="00902350"/>
    <w:rsid w:val="0090336B"/>
    <w:rsid w:val="00903DEC"/>
    <w:rsid w:val="00904437"/>
    <w:rsid w:val="009053AA"/>
    <w:rsid w:val="00906939"/>
    <w:rsid w:val="00910B7D"/>
    <w:rsid w:val="00911DFB"/>
    <w:rsid w:val="009137DB"/>
    <w:rsid w:val="009137FD"/>
    <w:rsid w:val="009139D9"/>
    <w:rsid w:val="00913BE6"/>
    <w:rsid w:val="009144EF"/>
    <w:rsid w:val="00914AD8"/>
    <w:rsid w:val="00914DB8"/>
    <w:rsid w:val="00914E5A"/>
    <w:rsid w:val="00915614"/>
    <w:rsid w:val="00916079"/>
    <w:rsid w:val="0091636E"/>
    <w:rsid w:val="00917580"/>
    <w:rsid w:val="00917596"/>
    <w:rsid w:val="00917CE9"/>
    <w:rsid w:val="00920256"/>
    <w:rsid w:val="00920559"/>
    <w:rsid w:val="00920BE4"/>
    <w:rsid w:val="00920BF2"/>
    <w:rsid w:val="009216BD"/>
    <w:rsid w:val="00922010"/>
    <w:rsid w:val="00922EA8"/>
    <w:rsid w:val="00924208"/>
    <w:rsid w:val="009243EF"/>
    <w:rsid w:val="009246F2"/>
    <w:rsid w:val="00925B07"/>
    <w:rsid w:val="00926E1A"/>
    <w:rsid w:val="009279A1"/>
    <w:rsid w:val="00931BD9"/>
    <w:rsid w:val="00932D04"/>
    <w:rsid w:val="009330C2"/>
    <w:rsid w:val="009330E0"/>
    <w:rsid w:val="00933185"/>
    <w:rsid w:val="00933C0F"/>
    <w:rsid w:val="009340D9"/>
    <w:rsid w:val="009368F3"/>
    <w:rsid w:val="00936F33"/>
    <w:rsid w:val="009407B1"/>
    <w:rsid w:val="00940C4C"/>
    <w:rsid w:val="00941541"/>
    <w:rsid w:val="009415CC"/>
    <w:rsid w:val="00941636"/>
    <w:rsid w:val="009428FF"/>
    <w:rsid w:val="00943742"/>
    <w:rsid w:val="009440C0"/>
    <w:rsid w:val="0094446E"/>
    <w:rsid w:val="009448B0"/>
    <w:rsid w:val="00945402"/>
    <w:rsid w:val="00945C05"/>
    <w:rsid w:val="00946945"/>
    <w:rsid w:val="009471F4"/>
    <w:rsid w:val="00947713"/>
    <w:rsid w:val="009501D9"/>
    <w:rsid w:val="00950210"/>
    <w:rsid w:val="00950395"/>
    <w:rsid w:val="009504FE"/>
    <w:rsid w:val="00950CAC"/>
    <w:rsid w:val="00950DE7"/>
    <w:rsid w:val="009510DB"/>
    <w:rsid w:val="00951E79"/>
    <w:rsid w:val="009523F0"/>
    <w:rsid w:val="00952749"/>
    <w:rsid w:val="00953920"/>
    <w:rsid w:val="00953D47"/>
    <w:rsid w:val="0095449D"/>
    <w:rsid w:val="0095479D"/>
    <w:rsid w:val="00954A95"/>
    <w:rsid w:val="00954D9C"/>
    <w:rsid w:val="00955524"/>
    <w:rsid w:val="00956597"/>
    <w:rsid w:val="0095681E"/>
    <w:rsid w:val="00957079"/>
    <w:rsid w:val="009572D4"/>
    <w:rsid w:val="009605CC"/>
    <w:rsid w:val="0096111B"/>
    <w:rsid w:val="00961921"/>
    <w:rsid w:val="009619F7"/>
    <w:rsid w:val="00962056"/>
    <w:rsid w:val="00962354"/>
    <w:rsid w:val="00962950"/>
    <w:rsid w:val="00962F2C"/>
    <w:rsid w:val="0096430A"/>
    <w:rsid w:val="0096554B"/>
    <w:rsid w:val="0096583D"/>
    <w:rsid w:val="0096584A"/>
    <w:rsid w:val="009662FC"/>
    <w:rsid w:val="009668C9"/>
    <w:rsid w:val="00970AF0"/>
    <w:rsid w:val="00971F08"/>
    <w:rsid w:val="009735D1"/>
    <w:rsid w:val="00974D97"/>
    <w:rsid w:val="0097603D"/>
    <w:rsid w:val="00976949"/>
    <w:rsid w:val="00980477"/>
    <w:rsid w:val="00980B39"/>
    <w:rsid w:val="009814E7"/>
    <w:rsid w:val="009820FA"/>
    <w:rsid w:val="009824AE"/>
    <w:rsid w:val="009825FD"/>
    <w:rsid w:val="00983C1E"/>
    <w:rsid w:val="009841A8"/>
    <w:rsid w:val="00984F26"/>
    <w:rsid w:val="00985253"/>
    <w:rsid w:val="009853B3"/>
    <w:rsid w:val="009856AB"/>
    <w:rsid w:val="00985A0D"/>
    <w:rsid w:val="00986A16"/>
    <w:rsid w:val="00990630"/>
    <w:rsid w:val="009910CC"/>
    <w:rsid w:val="00991660"/>
    <w:rsid w:val="00991761"/>
    <w:rsid w:val="009933F4"/>
    <w:rsid w:val="00993BF0"/>
    <w:rsid w:val="00994B33"/>
    <w:rsid w:val="00994DCA"/>
    <w:rsid w:val="009958F5"/>
    <w:rsid w:val="009960EC"/>
    <w:rsid w:val="009969C4"/>
    <w:rsid w:val="009970DD"/>
    <w:rsid w:val="009A0C85"/>
    <w:rsid w:val="009A0FBA"/>
    <w:rsid w:val="009A1601"/>
    <w:rsid w:val="009A2304"/>
    <w:rsid w:val="009A2E6C"/>
    <w:rsid w:val="009A3843"/>
    <w:rsid w:val="009A3874"/>
    <w:rsid w:val="009A462D"/>
    <w:rsid w:val="009A4B8D"/>
    <w:rsid w:val="009A50FA"/>
    <w:rsid w:val="009A56AA"/>
    <w:rsid w:val="009A5CBA"/>
    <w:rsid w:val="009A6495"/>
    <w:rsid w:val="009A64DA"/>
    <w:rsid w:val="009A7487"/>
    <w:rsid w:val="009A79DC"/>
    <w:rsid w:val="009B0860"/>
    <w:rsid w:val="009B08CC"/>
    <w:rsid w:val="009B115C"/>
    <w:rsid w:val="009B1F30"/>
    <w:rsid w:val="009B3AC2"/>
    <w:rsid w:val="009B478F"/>
    <w:rsid w:val="009B4DF4"/>
    <w:rsid w:val="009B564E"/>
    <w:rsid w:val="009B6AFD"/>
    <w:rsid w:val="009B726C"/>
    <w:rsid w:val="009B7E87"/>
    <w:rsid w:val="009C014D"/>
    <w:rsid w:val="009C0ADA"/>
    <w:rsid w:val="009C2D8F"/>
    <w:rsid w:val="009C32F6"/>
    <w:rsid w:val="009C403E"/>
    <w:rsid w:val="009C41DD"/>
    <w:rsid w:val="009C447F"/>
    <w:rsid w:val="009C5C49"/>
    <w:rsid w:val="009C6452"/>
    <w:rsid w:val="009C69AE"/>
    <w:rsid w:val="009C6B7A"/>
    <w:rsid w:val="009C78D9"/>
    <w:rsid w:val="009C7D45"/>
    <w:rsid w:val="009D0BC8"/>
    <w:rsid w:val="009D15F4"/>
    <w:rsid w:val="009D165A"/>
    <w:rsid w:val="009D390D"/>
    <w:rsid w:val="009D4FF0"/>
    <w:rsid w:val="009D5DA0"/>
    <w:rsid w:val="009D68C7"/>
    <w:rsid w:val="009D703C"/>
    <w:rsid w:val="009D718F"/>
    <w:rsid w:val="009D76B7"/>
    <w:rsid w:val="009E059B"/>
    <w:rsid w:val="009E068F"/>
    <w:rsid w:val="009E14E0"/>
    <w:rsid w:val="009E1882"/>
    <w:rsid w:val="009E2B95"/>
    <w:rsid w:val="009E31C3"/>
    <w:rsid w:val="009E35DB"/>
    <w:rsid w:val="009E47A3"/>
    <w:rsid w:val="009E53ED"/>
    <w:rsid w:val="009E5ABD"/>
    <w:rsid w:val="009E6201"/>
    <w:rsid w:val="009E6999"/>
    <w:rsid w:val="009E6C48"/>
    <w:rsid w:val="009E6D84"/>
    <w:rsid w:val="009E7AEB"/>
    <w:rsid w:val="009F0724"/>
    <w:rsid w:val="009F08F3"/>
    <w:rsid w:val="009F1C08"/>
    <w:rsid w:val="009F1E18"/>
    <w:rsid w:val="009F344F"/>
    <w:rsid w:val="009F3C70"/>
    <w:rsid w:val="009F43BD"/>
    <w:rsid w:val="009F4F02"/>
    <w:rsid w:val="00A03CAD"/>
    <w:rsid w:val="00A03D25"/>
    <w:rsid w:val="00A048A8"/>
    <w:rsid w:val="00A04F49"/>
    <w:rsid w:val="00A06AB7"/>
    <w:rsid w:val="00A06E74"/>
    <w:rsid w:val="00A078A9"/>
    <w:rsid w:val="00A11F58"/>
    <w:rsid w:val="00A12754"/>
    <w:rsid w:val="00A1305A"/>
    <w:rsid w:val="00A13289"/>
    <w:rsid w:val="00A132E6"/>
    <w:rsid w:val="00A13BAC"/>
    <w:rsid w:val="00A13E54"/>
    <w:rsid w:val="00A15993"/>
    <w:rsid w:val="00A17F63"/>
    <w:rsid w:val="00A2052C"/>
    <w:rsid w:val="00A20790"/>
    <w:rsid w:val="00A216D7"/>
    <w:rsid w:val="00A2193B"/>
    <w:rsid w:val="00A2351A"/>
    <w:rsid w:val="00A24874"/>
    <w:rsid w:val="00A25360"/>
    <w:rsid w:val="00A25532"/>
    <w:rsid w:val="00A256E1"/>
    <w:rsid w:val="00A264A9"/>
    <w:rsid w:val="00A27785"/>
    <w:rsid w:val="00A27BEC"/>
    <w:rsid w:val="00A30187"/>
    <w:rsid w:val="00A3025F"/>
    <w:rsid w:val="00A312F5"/>
    <w:rsid w:val="00A31702"/>
    <w:rsid w:val="00A31E26"/>
    <w:rsid w:val="00A32B67"/>
    <w:rsid w:val="00A33BD8"/>
    <w:rsid w:val="00A33C8D"/>
    <w:rsid w:val="00A3448A"/>
    <w:rsid w:val="00A34ED4"/>
    <w:rsid w:val="00A36297"/>
    <w:rsid w:val="00A364F9"/>
    <w:rsid w:val="00A36657"/>
    <w:rsid w:val="00A36FBC"/>
    <w:rsid w:val="00A400FB"/>
    <w:rsid w:val="00A40205"/>
    <w:rsid w:val="00A41E2B"/>
    <w:rsid w:val="00A42EAD"/>
    <w:rsid w:val="00A43252"/>
    <w:rsid w:val="00A434F5"/>
    <w:rsid w:val="00A44F0D"/>
    <w:rsid w:val="00A45B74"/>
    <w:rsid w:val="00A45BA9"/>
    <w:rsid w:val="00A5053F"/>
    <w:rsid w:val="00A50B38"/>
    <w:rsid w:val="00A51BD4"/>
    <w:rsid w:val="00A51FE7"/>
    <w:rsid w:val="00A520B7"/>
    <w:rsid w:val="00A524B9"/>
    <w:rsid w:val="00A52E1D"/>
    <w:rsid w:val="00A52F08"/>
    <w:rsid w:val="00A52FDC"/>
    <w:rsid w:val="00A56170"/>
    <w:rsid w:val="00A57354"/>
    <w:rsid w:val="00A60A85"/>
    <w:rsid w:val="00A61499"/>
    <w:rsid w:val="00A61547"/>
    <w:rsid w:val="00A620DD"/>
    <w:rsid w:val="00A622EB"/>
    <w:rsid w:val="00A62A77"/>
    <w:rsid w:val="00A630FC"/>
    <w:rsid w:val="00A632F9"/>
    <w:rsid w:val="00A63483"/>
    <w:rsid w:val="00A657D7"/>
    <w:rsid w:val="00A65B3F"/>
    <w:rsid w:val="00A65D59"/>
    <w:rsid w:val="00A660AC"/>
    <w:rsid w:val="00A66D59"/>
    <w:rsid w:val="00A66F55"/>
    <w:rsid w:val="00A6726E"/>
    <w:rsid w:val="00A672DD"/>
    <w:rsid w:val="00A67E6C"/>
    <w:rsid w:val="00A713C0"/>
    <w:rsid w:val="00A71B99"/>
    <w:rsid w:val="00A739D0"/>
    <w:rsid w:val="00A73AEF"/>
    <w:rsid w:val="00A745F6"/>
    <w:rsid w:val="00A748E8"/>
    <w:rsid w:val="00A75901"/>
    <w:rsid w:val="00A761D4"/>
    <w:rsid w:val="00A7719B"/>
    <w:rsid w:val="00A77EC4"/>
    <w:rsid w:val="00A8096A"/>
    <w:rsid w:val="00A8170B"/>
    <w:rsid w:val="00A818FD"/>
    <w:rsid w:val="00A81AAF"/>
    <w:rsid w:val="00A831AD"/>
    <w:rsid w:val="00A850EA"/>
    <w:rsid w:val="00A85E31"/>
    <w:rsid w:val="00A86699"/>
    <w:rsid w:val="00A86B01"/>
    <w:rsid w:val="00A90788"/>
    <w:rsid w:val="00A90ABC"/>
    <w:rsid w:val="00A90DE2"/>
    <w:rsid w:val="00A90E97"/>
    <w:rsid w:val="00A9216B"/>
    <w:rsid w:val="00A92380"/>
    <w:rsid w:val="00A92879"/>
    <w:rsid w:val="00A92C71"/>
    <w:rsid w:val="00A939E7"/>
    <w:rsid w:val="00A93B55"/>
    <w:rsid w:val="00A93EC1"/>
    <w:rsid w:val="00A9442A"/>
    <w:rsid w:val="00A951B3"/>
    <w:rsid w:val="00A951D5"/>
    <w:rsid w:val="00A9562E"/>
    <w:rsid w:val="00A96DD2"/>
    <w:rsid w:val="00A97034"/>
    <w:rsid w:val="00AA016F"/>
    <w:rsid w:val="00AA0885"/>
    <w:rsid w:val="00AA1713"/>
    <w:rsid w:val="00AA1ED6"/>
    <w:rsid w:val="00AA1FB3"/>
    <w:rsid w:val="00AA2F2D"/>
    <w:rsid w:val="00AA4666"/>
    <w:rsid w:val="00AA51D6"/>
    <w:rsid w:val="00AA590F"/>
    <w:rsid w:val="00AA59CD"/>
    <w:rsid w:val="00AA5FCA"/>
    <w:rsid w:val="00AA6003"/>
    <w:rsid w:val="00AA66BE"/>
    <w:rsid w:val="00AA6B1E"/>
    <w:rsid w:val="00AA773A"/>
    <w:rsid w:val="00AB0BC8"/>
    <w:rsid w:val="00AB11CA"/>
    <w:rsid w:val="00AB14D9"/>
    <w:rsid w:val="00AB18FF"/>
    <w:rsid w:val="00AB23A5"/>
    <w:rsid w:val="00AB349B"/>
    <w:rsid w:val="00AB4AB8"/>
    <w:rsid w:val="00AB535A"/>
    <w:rsid w:val="00AB55FE"/>
    <w:rsid w:val="00AB5F89"/>
    <w:rsid w:val="00AB655E"/>
    <w:rsid w:val="00AB6A33"/>
    <w:rsid w:val="00AB7C27"/>
    <w:rsid w:val="00AC007F"/>
    <w:rsid w:val="00AC2570"/>
    <w:rsid w:val="00AC2ECD"/>
    <w:rsid w:val="00AC3119"/>
    <w:rsid w:val="00AC49FB"/>
    <w:rsid w:val="00AC5A10"/>
    <w:rsid w:val="00AC7AB3"/>
    <w:rsid w:val="00AD0AA3"/>
    <w:rsid w:val="00AD11C0"/>
    <w:rsid w:val="00AD1847"/>
    <w:rsid w:val="00AD220D"/>
    <w:rsid w:val="00AD3A3D"/>
    <w:rsid w:val="00AD3F94"/>
    <w:rsid w:val="00AD4A5A"/>
    <w:rsid w:val="00AD5174"/>
    <w:rsid w:val="00AD669E"/>
    <w:rsid w:val="00AD6B90"/>
    <w:rsid w:val="00AD7C79"/>
    <w:rsid w:val="00AE02A8"/>
    <w:rsid w:val="00AE06C3"/>
    <w:rsid w:val="00AE0821"/>
    <w:rsid w:val="00AE1661"/>
    <w:rsid w:val="00AE27AC"/>
    <w:rsid w:val="00AE2CF3"/>
    <w:rsid w:val="00AE3544"/>
    <w:rsid w:val="00AE3743"/>
    <w:rsid w:val="00AE3A6F"/>
    <w:rsid w:val="00AE40E0"/>
    <w:rsid w:val="00AE4272"/>
    <w:rsid w:val="00AE431A"/>
    <w:rsid w:val="00AE4DBA"/>
    <w:rsid w:val="00AE4F07"/>
    <w:rsid w:val="00AE5E94"/>
    <w:rsid w:val="00AE5F12"/>
    <w:rsid w:val="00AF1971"/>
    <w:rsid w:val="00AF1C5D"/>
    <w:rsid w:val="00AF2785"/>
    <w:rsid w:val="00AF31B0"/>
    <w:rsid w:val="00AF34C2"/>
    <w:rsid w:val="00AF42D7"/>
    <w:rsid w:val="00B006FE"/>
    <w:rsid w:val="00B007CB"/>
    <w:rsid w:val="00B02AA9"/>
    <w:rsid w:val="00B02FA3"/>
    <w:rsid w:val="00B0358E"/>
    <w:rsid w:val="00B0403F"/>
    <w:rsid w:val="00B046E9"/>
    <w:rsid w:val="00B05084"/>
    <w:rsid w:val="00B0530A"/>
    <w:rsid w:val="00B05B0F"/>
    <w:rsid w:val="00B06EEA"/>
    <w:rsid w:val="00B10738"/>
    <w:rsid w:val="00B11F76"/>
    <w:rsid w:val="00B131DB"/>
    <w:rsid w:val="00B156C0"/>
    <w:rsid w:val="00B157F9"/>
    <w:rsid w:val="00B16BA1"/>
    <w:rsid w:val="00B17D6F"/>
    <w:rsid w:val="00B20256"/>
    <w:rsid w:val="00B202D6"/>
    <w:rsid w:val="00B20D09"/>
    <w:rsid w:val="00B22C47"/>
    <w:rsid w:val="00B23021"/>
    <w:rsid w:val="00B235F8"/>
    <w:rsid w:val="00B245C4"/>
    <w:rsid w:val="00B2763F"/>
    <w:rsid w:val="00B27AAC"/>
    <w:rsid w:val="00B30929"/>
    <w:rsid w:val="00B31FFA"/>
    <w:rsid w:val="00B32BBD"/>
    <w:rsid w:val="00B34B03"/>
    <w:rsid w:val="00B34CE5"/>
    <w:rsid w:val="00B359D1"/>
    <w:rsid w:val="00B36DB4"/>
    <w:rsid w:val="00B36DB9"/>
    <w:rsid w:val="00B372AA"/>
    <w:rsid w:val="00B40445"/>
    <w:rsid w:val="00B40BA5"/>
    <w:rsid w:val="00B41888"/>
    <w:rsid w:val="00B4390D"/>
    <w:rsid w:val="00B446F1"/>
    <w:rsid w:val="00B44918"/>
    <w:rsid w:val="00B459A8"/>
    <w:rsid w:val="00B45A52"/>
    <w:rsid w:val="00B46117"/>
    <w:rsid w:val="00B46175"/>
    <w:rsid w:val="00B46FC9"/>
    <w:rsid w:val="00B47AFE"/>
    <w:rsid w:val="00B52410"/>
    <w:rsid w:val="00B524E0"/>
    <w:rsid w:val="00B53718"/>
    <w:rsid w:val="00B54DEE"/>
    <w:rsid w:val="00B55002"/>
    <w:rsid w:val="00B55E84"/>
    <w:rsid w:val="00B570E4"/>
    <w:rsid w:val="00B5727E"/>
    <w:rsid w:val="00B5776C"/>
    <w:rsid w:val="00B57879"/>
    <w:rsid w:val="00B57938"/>
    <w:rsid w:val="00B579C1"/>
    <w:rsid w:val="00B57F54"/>
    <w:rsid w:val="00B6165D"/>
    <w:rsid w:val="00B6188F"/>
    <w:rsid w:val="00B6205C"/>
    <w:rsid w:val="00B63782"/>
    <w:rsid w:val="00B64310"/>
    <w:rsid w:val="00B6451C"/>
    <w:rsid w:val="00B65824"/>
    <w:rsid w:val="00B65AE4"/>
    <w:rsid w:val="00B65B84"/>
    <w:rsid w:val="00B6607A"/>
    <w:rsid w:val="00B664C7"/>
    <w:rsid w:val="00B70D02"/>
    <w:rsid w:val="00B7102C"/>
    <w:rsid w:val="00B71128"/>
    <w:rsid w:val="00B71B72"/>
    <w:rsid w:val="00B72FB1"/>
    <w:rsid w:val="00B739F6"/>
    <w:rsid w:val="00B73D26"/>
    <w:rsid w:val="00B7541B"/>
    <w:rsid w:val="00B7786F"/>
    <w:rsid w:val="00B77DD3"/>
    <w:rsid w:val="00B81A6C"/>
    <w:rsid w:val="00B8260D"/>
    <w:rsid w:val="00B836D7"/>
    <w:rsid w:val="00B845BC"/>
    <w:rsid w:val="00B85DE5"/>
    <w:rsid w:val="00B86D21"/>
    <w:rsid w:val="00B90457"/>
    <w:rsid w:val="00B90E76"/>
    <w:rsid w:val="00B90F73"/>
    <w:rsid w:val="00B93B59"/>
    <w:rsid w:val="00B9406A"/>
    <w:rsid w:val="00B95B23"/>
    <w:rsid w:val="00BA12F5"/>
    <w:rsid w:val="00BA1B50"/>
    <w:rsid w:val="00BA2280"/>
    <w:rsid w:val="00BA22CC"/>
    <w:rsid w:val="00BA2A08"/>
    <w:rsid w:val="00BA475D"/>
    <w:rsid w:val="00BA56D2"/>
    <w:rsid w:val="00BA5BC0"/>
    <w:rsid w:val="00BA7493"/>
    <w:rsid w:val="00BA76E0"/>
    <w:rsid w:val="00BA7CC3"/>
    <w:rsid w:val="00BB0F89"/>
    <w:rsid w:val="00BB2A25"/>
    <w:rsid w:val="00BB39C3"/>
    <w:rsid w:val="00BB4B52"/>
    <w:rsid w:val="00BB51E9"/>
    <w:rsid w:val="00BB6042"/>
    <w:rsid w:val="00BB6E26"/>
    <w:rsid w:val="00BB7BDE"/>
    <w:rsid w:val="00BC0FDC"/>
    <w:rsid w:val="00BC1411"/>
    <w:rsid w:val="00BC2B7D"/>
    <w:rsid w:val="00BC2EA1"/>
    <w:rsid w:val="00BC3053"/>
    <w:rsid w:val="00BC35CB"/>
    <w:rsid w:val="00BC488B"/>
    <w:rsid w:val="00BC4BEE"/>
    <w:rsid w:val="00BC4D2E"/>
    <w:rsid w:val="00BC4E3B"/>
    <w:rsid w:val="00BC516E"/>
    <w:rsid w:val="00BC5562"/>
    <w:rsid w:val="00BC5D96"/>
    <w:rsid w:val="00BC5F56"/>
    <w:rsid w:val="00BC7844"/>
    <w:rsid w:val="00BD14E7"/>
    <w:rsid w:val="00BD1D43"/>
    <w:rsid w:val="00BD1DC0"/>
    <w:rsid w:val="00BD209A"/>
    <w:rsid w:val="00BD2807"/>
    <w:rsid w:val="00BD2F45"/>
    <w:rsid w:val="00BD2FB4"/>
    <w:rsid w:val="00BD48AC"/>
    <w:rsid w:val="00BD5F1A"/>
    <w:rsid w:val="00BD6869"/>
    <w:rsid w:val="00BD6B06"/>
    <w:rsid w:val="00BD7339"/>
    <w:rsid w:val="00BD73A3"/>
    <w:rsid w:val="00BD757D"/>
    <w:rsid w:val="00BD7A7E"/>
    <w:rsid w:val="00BE1234"/>
    <w:rsid w:val="00BE19CF"/>
    <w:rsid w:val="00BE1B41"/>
    <w:rsid w:val="00BE1CAF"/>
    <w:rsid w:val="00BE2FA6"/>
    <w:rsid w:val="00BE31D3"/>
    <w:rsid w:val="00BE333F"/>
    <w:rsid w:val="00BE42FE"/>
    <w:rsid w:val="00BE4CA9"/>
    <w:rsid w:val="00BE575B"/>
    <w:rsid w:val="00BE5F38"/>
    <w:rsid w:val="00BE7406"/>
    <w:rsid w:val="00BE7603"/>
    <w:rsid w:val="00BE7FC2"/>
    <w:rsid w:val="00BF1EE7"/>
    <w:rsid w:val="00BF1FE4"/>
    <w:rsid w:val="00BF3279"/>
    <w:rsid w:val="00BF3B64"/>
    <w:rsid w:val="00BF5AAE"/>
    <w:rsid w:val="00BF5F15"/>
    <w:rsid w:val="00BF6DC1"/>
    <w:rsid w:val="00BF74C7"/>
    <w:rsid w:val="00C015F1"/>
    <w:rsid w:val="00C01F33"/>
    <w:rsid w:val="00C02CC6"/>
    <w:rsid w:val="00C040F7"/>
    <w:rsid w:val="00C041B0"/>
    <w:rsid w:val="00C04276"/>
    <w:rsid w:val="00C044AB"/>
    <w:rsid w:val="00C0513E"/>
    <w:rsid w:val="00C05313"/>
    <w:rsid w:val="00C05706"/>
    <w:rsid w:val="00C0587F"/>
    <w:rsid w:val="00C069A2"/>
    <w:rsid w:val="00C07377"/>
    <w:rsid w:val="00C078E7"/>
    <w:rsid w:val="00C10478"/>
    <w:rsid w:val="00C106F4"/>
    <w:rsid w:val="00C12107"/>
    <w:rsid w:val="00C1439B"/>
    <w:rsid w:val="00C14439"/>
    <w:rsid w:val="00C14D4B"/>
    <w:rsid w:val="00C154BB"/>
    <w:rsid w:val="00C15A82"/>
    <w:rsid w:val="00C22013"/>
    <w:rsid w:val="00C22ADF"/>
    <w:rsid w:val="00C2348A"/>
    <w:rsid w:val="00C235C1"/>
    <w:rsid w:val="00C24345"/>
    <w:rsid w:val="00C247D0"/>
    <w:rsid w:val="00C279B5"/>
    <w:rsid w:val="00C27C45"/>
    <w:rsid w:val="00C27C51"/>
    <w:rsid w:val="00C311C9"/>
    <w:rsid w:val="00C31AB5"/>
    <w:rsid w:val="00C3296B"/>
    <w:rsid w:val="00C32CE0"/>
    <w:rsid w:val="00C342F0"/>
    <w:rsid w:val="00C34F59"/>
    <w:rsid w:val="00C36648"/>
    <w:rsid w:val="00C3719D"/>
    <w:rsid w:val="00C37801"/>
    <w:rsid w:val="00C41722"/>
    <w:rsid w:val="00C41B98"/>
    <w:rsid w:val="00C422F6"/>
    <w:rsid w:val="00C423C5"/>
    <w:rsid w:val="00C42D35"/>
    <w:rsid w:val="00C44EA1"/>
    <w:rsid w:val="00C45D93"/>
    <w:rsid w:val="00C470B9"/>
    <w:rsid w:val="00C47371"/>
    <w:rsid w:val="00C47864"/>
    <w:rsid w:val="00C47904"/>
    <w:rsid w:val="00C479F1"/>
    <w:rsid w:val="00C47F92"/>
    <w:rsid w:val="00C503C7"/>
    <w:rsid w:val="00C50413"/>
    <w:rsid w:val="00C50BC0"/>
    <w:rsid w:val="00C5223C"/>
    <w:rsid w:val="00C53426"/>
    <w:rsid w:val="00C541EC"/>
    <w:rsid w:val="00C54995"/>
    <w:rsid w:val="00C54D0D"/>
    <w:rsid w:val="00C54D41"/>
    <w:rsid w:val="00C54E10"/>
    <w:rsid w:val="00C55051"/>
    <w:rsid w:val="00C557F6"/>
    <w:rsid w:val="00C56626"/>
    <w:rsid w:val="00C57798"/>
    <w:rsid w:val="00C60783"/>
    <w:rsid w:val="00C611A5"/>
    <w:rsid w:val="00C61239"/>
    <w:rsid w:val="00C61E71"/>
    <w:rsid w:val="00C6247B"/>
    <w:rsid w:val="00C62DA7"/>
    <w:rsid w:val="00C64672"/>
    <w:rsid w:val="00C66A00"/>
    <w:rsid w:val="00C66F83"/>
    <w:rsid w:val="00C67568"/>
    <w:rsid w:val="00C70697"/>
    <w:rsid w:val="00C72EF4"/>
    <w:rsid w:val="00C73EE6"/>
    <w:rsid w:val="00C75014"/>
    <w:rsid w:val="00C75715"/>
    <w:rsid w:val="00C75D2F"/>
    <w:rsid w:val="00C76615"/>
    <w:rsid w:val="00C7664A"/>
    <w:rsid w:val="00C767BE"/>
    <w:rsid w:val="00C76E3C"/>
    <w:rsid w:val="00C7763A"/>
    <w:rsid w:val="00C81042"/>
    <w:rsid w:val="00C81568"/>
    <w:rsid w:val="00C816F1"/>
    <w:rsid w:val="00C818F3"/>
    <w:rsid w:val="00C826C7"/>
    <w:rsid w:val="00C84065"/>
    <w:rsid w:val="00C85EB4"/>
    <w:rsid w:val="00C8687E"/>
    <w:rsid w:val="00C86AF8"/>
    <w:rsid w:val="00C9027A"/>
    <w:rsid w:val="00C9068E"/>
    <w:rsid w:val="00C90E89"/>
    <w:rsid w:val="00C91B2D"/>
    <w:rsid w:val="00C91FA0"/>
    <w:rsid w:val="00C92111"/>
    <w:rsid w:val="00C9348E"/>
    <w:rsid w:val="00C93C4B"/>
    <w:rsid w:val="00C944AB"/>
    <w:rsid w:val="00C949B9"/>
    <w:rsid w:val="00C950E7"/>
    <w:rsid w:val="00C95B40"/>
    <w:rsid w:val="00C97060"/>
    <w:rsid w:val="00CA088A"/>
    <w:rsid w:val="00CA1ED8"/>
    <w:rsid w:val="00CA2E71"/>
    <w:rsid w:val="00CA3B90"/>
    <w:rsid w:val="00CA4379"/>
    <w:rsid w:val="00CA501A"/>
    <w:rsid w:val="00CA751C"/>
    <w:rsid w:val="00CA7B8A"/>
    <w:rsid w:val="00CB02DE"/>
    <w:rsid w:val="00CB05C4"/>
    <w:rsid w:val="00CB167F"/>
    <w:rsid w:val="00CB189B"/>
    <w:rsid w:val="00CB1F63"/>
    <w:rsid w:val="00CB6458"/>
    <w:rsid w:val="00CB7170"/>
    <w:rsid w:val="00CB7820"/>
    <w:rsid w:val="00CB7B40"/>
    <w:rsid w:val="00CB7FB6"/>
    <w:rsid w:val="00CC040E"/>
    <w:rsid w:val="00CC111F"/>
    <w:rsid w:val="00CC144D"/>
    <w:rsid w:val="00CC2011"/>
    <w:rsid w:val="00CC26E7"/>
    <w:rsid w:val="00CC3441"/>
    <w:rsid w:val="00CC3EA0"/>
    <w:rsid w:val="00CC5944"/>
    <w:rsid w:val="00CC7562"/>
    <w:rsid w:val="00CC7B45"/>
    <w:rsid w:val="00CD0857"/>
    <w:rsid w:val="00CD0DFF"/>
    <w:rsid w:val="00CD1131"/>
    <w:rsid w:val="00CD1188"/>
    <w:rsid w:val="00CD180B"/>
    <w:rsid w:val="00CD2308"/>
    <w:rsid w:val="00CD2ED1"/>
    <w:rsid w:val="00CD32CA"/>
    <w:rsid w:val="00CD337B"/>
    <w:rsid w:val="00CD3C2E"/>
    <w:rsid w:val="00CD4D85"/>
    <w:rsid w:val="00CD7E71"/>
    <w:rsid w:val="00CE0424"/>
    <w:rsid w:val="00CE3FC0"/>
    <w:rsid w:val="00CE5877"/>
    <w:rsid w:val="00CE64C1"/>
    <w:rsid w:val="00CE668E"/>
    <w:rsid w:val="00CE6A1A"/>
    <w:rsid w:val="00CE7561"/>
    <w:rsid w:val="00CE75E5"/>
    <w:rsid w:val="00CF1354"/>
    <w:rsid w:val="00CF2D87"/>
    <w:rsid w:val="00CF3B1F"/>
    <w:rsid w:val="00CF3BF6"/>
    <w:rsid w:val="00CF4F42"/>
    <w:rsid w:val="00CF625B"/>
    <w:rsid w:val="00CF687E"/>
    <w:rsid w:val="00CF747E"/>
    <w:rsid w:val="00D001F9"/>
    <w:rsid w:val="00D00E09"/>
    <w:rsid w:val="00D02F9E"/>
    <w:rsid w:val="00D0349B"/>
    <w:rsid w:val="00D03E97"/>
    <w:rsid w:val="00D04DDB"/>
    <w:rsid w:val="00D0619E"/>
    <w:rsid w:val="00D077EF"/>
    <w:rsid w:val="00D10249"/>
    <w:rsid w:val="00D10457"/>
    <w:rsid w:val="00D10FD6"/>
    <w:rsid w:val="00D113CF"/>
    <w:rsid w:val="00D115C3"/>
    <w:rsid w:val="00D11897"/>
    <w:rsid w:val="00D121CB"/>
    <w:rsid w:val="00D12AB3"/>
    <w:rsid w:val="00D13135"/>
    <w:rsid w:val="00D13BD8"/>
    <w:rsid w:val="00D13E4E"/>
    <w:rsid w:val="00D144DB"/>
    <w:rsid w:val="00D16078"/>
    <w:rsid w:val="00D1764B"/>
    <w:rsid w:val="00D17A06"/>
    <w:rsid w:val="00D17E0C"/>
    <w:rsid w:val="00D21202"/>
    <w:rsid w:val="00D2341F"/>
    <w:rsid w:val="00D23989"/>
    <w:rsid w:val="00D239A7"/>
    <w:rsid w:val="00D23B7C"/>
    <w:rsid w:val="00D23F47"/>
    <w:rsid w:val="00D2446A"/>
    <w:rsid w:val="00D257DB"/>
    <w:rsid w:val="00D25D85"/>
    <w:rsid w:val="00D26DFD"/>
    <w:rsid w:val="00D30243"/>
    <w:rsid w:val="00D30BEB"/>
    <w:rsid w:val="00D33432"/>
    <w:rsid w:val="00D33ADF"/>
    <w:rsid w:val="00D343B5"/>
    <w:rsid w:val="00D35FD6"/>
    <w:rsid w:val="00D36406"/>
    <w:rsid w:val="00D36898"/>
    <w:rsid w:val="00D36B1B"/>
    <w:rsid w:val="00D36E71"/>
    <w:rsid w:val="00D37018"/>
    <w:rsid w:val="00D375BB"/>
    <w:rsid w:val="00D37D87"/>
    <w:rsid w:val="00D40110"/>
    <w:rsid w:val="00D408E5"/>
    <w:rsid w:val="00D40B33"/>
    <w:rsid w:val="00D41705"/>
    <w:rsid w:val="00D42412"/>
    <w:rsid w:val="00D4318F"/>
    <w:rsid w:val="00D438BF"/>
    <w:rsid w:val="00D440F8"/>
    <w:rsid w:val="00D44F19"/>
    <w:rsid w:val="00D45F17"/>
    <w:rsid w:val="00D465AB"/>
    <w:rsid w:val="00D479A4"/>
    <w:rsid w:val="00D47A68"/>
    <w:rsid w:val="00D50109"/>
    <w:rsid w:val="00D50F97"/>
    <w:rsid w:val="00D5122D"/>
    <w:rsid w:val="00D5314E"/>
    <w:rsid w:val="00D53690"/>
    <w:rsid w:val="00D546FF"/>
    <w:rsid w:val="00D5552F"/>
    <w:rsid w:val="00D55716"/>
    <w:rsid w:val="00D55AD5"/>
    <w:rsid w:val="00D56419"/>
    <w:rsid w:val="00D569C1"/>
    <w:rsid w:val="00D56E69"/>
    <w:rsid w:val="00D576CA"/>
    <w:rsid w:val="00D578CB"/>
    <w:rsid w:val="00D61AF5"/>
    <w:rsid w:val="00D62356"/>
    <w:rsid w:val="00D62E22"/>
    <w:rsid w:val="00D63EFF"/>
    <w:rsid w:val="00D6442C"/>
    <w:rsid w:val="00D649A4"/>
    <w:rsid w:val="00D64FF9"/>
    <w:rsid w:val="00D652B5"/>
    <w:rsid w:val="00D65B74"/>
    <w:rsid w:val="00D66155"/>
    <w:rsid w:val="00D675E4"/>
    <w:rsid w:val="00D708B0"/>
    <w:rsid w:val="00D708D0"/>
    <w:rsid w:val="00D720C1"/>
    <w:rsid w:val="00D73916"/>
    <w:rsid w:val="00D751C3"/>
    <w:rsid w:val="00D759DA"/>
    <w:rsid w:val="00D77354"/>
    <w:rsid w:val="00D77B1D"/>
    <w:rsid w:val="00D8021F"/>
    <w:rsid w:val="00D8027C"/>
    <w:rsid w:val="00D80383"/>
    <w:rsid w:val="00D823C6"/>
    <w:rsid w:val="00D824D4"/>
    <w:rsid w:val="00D82515"/>
    <w:rsid w:val="00D828EA"/>
    <w:rsid w:val="00D82AC3"/>
    <w:rsid w:val="00D850A9"/>
    <w:rsid w:val="00D8519B"/>
    <w:rsid w:val="00D862DA"/>
    <w:rsid w:val="00D86CA3"/>
    <w:rsid w:val="00D86E35"/>
    <w:rsid w:val="00D871CE"/>
    <w:rsid w:val="00D9033F"/>
    <w:rsid w:val="00D905BE"/>
    <w:rsid w:val="00D90DB3"/>
    <w:rsid w:val="00D912C1"/>
    <w:rsid w:val="00D91485"/>
    <w:rsid w:val="00D9196D"/>
    <w:rsid w:val="00D92982"/>
    <w:rsid w:val="00D92DD1"/>
    <w:rsid w:val="00D946A9"/>
    <w:rsid w:val="00D96A77"/>
    <w:rsid w:val="00D972C2"/>
    <w:rsid w:val="00DA26A9"/>
    <w:rsid w:val="00DA305E"/>
    <w:rsid w:val="00DA5417"/>
    <w:rsid w:val="00DA56E8"/>
    <w:rsid w:val="00DA5A2F"/>
    <w:rsid w:val="00DA7BC4"/>
    <w:rsid w:val="00DB0A9F"/>
    <w:rsid w:val="00DB0EAA"/>
    <w:rsid w:val="00DB15D1"/>
    <w:rsid w:val="00DB377D"/>
    <w:rsid w:val="00DB4D5F"/>
    <w:rsid w:val="00DB565C"/>
    <w:rsid w:val="00DB6951"/>
    <w:rsid w:val="00DB732D"/>
    <w:rsid w:val="00DC1BA1"/>
    <w:rsid w:val="00DC1EA4"/>
    <w:rsid w:val="00DC2007"/>
    <w:rsid w:val="00DC2B8F"/>
    <w:rsid w:val="00DC2D36"/>
    <w:rsid w:val="00DC494D"/>
    <w:rsid w:val="00DC53EF"/>
    <w:rsid w:val="00DC5B2C"/>
    <w:rsid w:val="00DC6365"/>
    <w:rsid w:val="00DC6EF2"/>
    <w:rsid w:val="00DC75FD"/>
    <w:rsid w:val="00DD2283"/>
    <w:rsid w:val="00DD347E"/>
    <w:rsid w:val="00DD4AB0"/>
    <w:rsid w:val="00DD4DA5"/>
    <w:rsid w:val="00DD7617"/>
    <w:rsid w:val="00DD76C2"/>
    <w:rsid w:val="00DE0B2C"/>
    <w:rsid w:val="00DE1460"/>
    <w:rsid w:val="00DE1478"/>
    <w:rsid w:val="00DE378F"/>
    <w:rsid w:val="00DE438F"/>
    <w:rsid w:val="00DE4D83"/>
    <w:rsid w:val="00DE5608"/>
    <w:rsid w:val="00DE58D0"/>
    <w:rsid w:val="00DE654F"/>
    <w:rsid w:val="00DE68CD"/>
    <w:rsid w:val="00DE72A7"/>
    <w:rsid w:val="00DE7330"/>
    <w:rsid w:val="00DF008D"/>
    <w:rsid w:val="00DF0744"/>
    <w:rsid w:val="00DF0998"/>
    <w:rsid w:val="00DF0B6E"/>
    <w:rsid w:val="00DF10A9"/>
    <w:rsid w:val="00DF15E0"/>
    <w:rsid w:val="00DF1A11"/>
    <w:rsid w:val="00DF26C5"/>
    <w:rsid w:val="00DF37A0"/>
    <w:rsid w:val="00DF4310"/>
    <w:rsid w:val="00DF4B31"/>
    <w:rsid w:val="00DF5587"/>
    <w:rsid w:val="00DF6727"/>
    <w:rsid w:val="00DF7067"/>
    <w:rsid w:val="00DF735B"/>
    <w:rsid w:val="00E00A79"/>
    <w:rsid w:val="00E01BE9"/>
    <w:rsid w:val="00E0200C"/>
    <w:rsid w:val="00E02B9F"/>
    <w:rsid w:val="00E04DA4"/>
    <w:rsid w:val="00E05423"/>
    <w:rsid w:val="00E05D05"/>
    <w:rsid w:val="00E06DE9"/>
    <w:rsid w:val="00E07805"/>
    <w:rsid w:val="00E10637"/>
    <w:rsid w:val="00E110E7"/>
    <w:rsid w:val="00E11B20"/>
    <w:rsid w:val="00E12125"/>
    <w:rsid w:val="00E12D76"/>
    <w:rsid w:val="00E16EB6"/>
    <w:rsid w:val="00E17517"/>
    <w:rsid w:val="00E17FA2"/>
    <w:rsid w:val="00E20373"/>
    <w:rsid w:val="00E205FD"/>
    <w:rsid w:val="00E214DA"/>
    <w:rsid w:val="00E22330"/>
    <w:rsid w:val="00E23652"/>
    <w:rsid w:val="00E2673B"/>
    <w:rsid w:val="00E26970"/>
    <w:rsid w:val="00E30B5A"/>
    <w:rsid w:val="00E30DAC"/>
    <w:rsid w:val="00E30F2E"/>
    <w:rsid w:val="00E3123D"/>
    <w:rsid w:val="00E31461"/>
    <w:rsid w:val="00E31D43"/>
    <w:rsid w:val="00E32608"/>
    <w:rsid w:val="00E32669"/>
    <w:rsid w:val="00E33072"/>
    <w:rsid w:val="00E338B9"/>
    <w:rsid w:val="00E34188"/>
    <w:rsid w:val="00E34B6E"/>
    <w:rsid w:val="00E34BA4"/>
    <w:rsid w:val="00E35559"/>
    <w:rsid w:val="00E35D6C"/>
    <w:rsid w:val="00E36417"/>
    <w:rsid w:val="00E36F29"/>
    <w:rsid w:val="00E3713E"/>
    <w:rsid w:val="00E3723A"/>
    <w:rsid w:val="00E37714"/>
    <w:rsid w:val="00E37860"/>
    <w:rsid w:val="00E40073"/>
    <w:rsid w:val="00E40177"/>
    <w:rsid w:val="00E446F1"/>
    <w:rsid w:val="00E45555"/>
    <w:rsid w:val="00E45C98"/>
    <w:rsid w:val="00E45D78"/>
    <w:rsid w:val="00E461C1"/>
    <w:rsid w:val="00E46770"/>
    <w:rsid w:val="00E46886"/>
    <w:rsid w:val="00E46DAD"/>
    <w:rsid w:val="00E47193"/>
    <w:rsid w:val="00E47AEF"/>
    <w:rsid w:val="00E47BBC"/>
    <w:rsid w:val="00E47E32"/>
    <w:rsid w:val="00E52301"/>
    <w:rsid w:val="00E52F05"/>
    <w:rsid w:val="00E5353A"/>
    <w:rsid w:val="00E53B75"/>
    <w:rsid w:val="00E54570"/>
    <w:rsid w:val="00E54E3B"/>
    <w:rsid w:val="00E55789"/>
    <w:rsid w:val="00E55C3A"/>
    <w:rsid w:val="00E57565"/>
    <w:rsid w:val="00E6050E"/>
    <w:rsid w:val="00E60954"/>
    <w:rsid w:val="00E617DC"/>
    <w:rsid w:val="00E61B3D"/>
    <w:rsid w:val="00E61C24"/>
    <w:rsid w:val="00E62739"/>
    <w:rsid w:val="00E631EA"/>
    <w:rsid w:val="00E63838"/>
    <w:rsid w:val="00E64434"/>
    <w:rsid w:val="00E64E9A"/>
    <w:rsid w:val="00E64EBD"/>
    <w:rsid w:val="00E65044"/>
    <w:rsid w:val="00E67550"/>
    <w:rsid w:val="00E67C51"/>
    <w:rsid w:val="00E709F4"/>
    <w:rsid w:val="00E7246E"/>
    <w:rsid w:val="00E72EFC"/>
    <w:rsid w:val="00E74CA3"/>
    <w:rsid w:val="00E753A6"/>
    <w:rsid w:val="00E758EC"/>
    <w:rsid w:val="00E76F20"/>
    <w:rsid w:val="00E77086"/>
    <w:rsid w:val="00E8022E"/>
    <w:rsid w:val="00E80452"/>
    <w:rsid w:val="00E80E17"/>
    <w:rsid w:val="00E8234C"/>
    <w:rsid w:val="00E83AA9"/>
    <w:rsid w:val="00E84506"/>
    <w:rsid w:val="00E847AB"/>
    <w:rsid w:val="00E85928"/>
    <w:rsid w:val="00E85A27"/>
    <w:rsid w:val="00E85B96"/>
    <w:rsid w:val="00E86339"/>
    <w:rsid w:val="00E87822"/>
    <w:rsid w:val="00E87AEC"/>
    <w:rsid w:val="00E90395"/>
    <w:rsid w:val="00E907A2"/>
    <w:rsid w:val="00E90E49"/>
    <w:rsid w:val="00E90F5D"/>
    <w:rsid w:val="00E917F9"/>
    <w:rsid w:val="00E925D7"/>
    <w:rsid w:val="00E9291C"/>
    <w:rsid w:val="00E92E56"/>
    <w:rsid w:val="00E931D2"/>
    <w:rsid w:val="00E93FFE"/>
    <w:rsid w:val="00E94403"/>
    <w:rsid w:val="00E94F8A"/>
    <w:rsid w:val="00E95E66"/>
    <w:rsid w:val="00EA1473"/>
    <w:rsid w:val="00EA1F8E"/>
    <w:rsid w:val="00EA4402"/>
    <w:rsid w:val="00EA532E"/>
    <w:rsid w:val="00EA5AA0"/>
    <w:rsid w:val="00EA65EC"/>
    <w:rsid w:val="00EA7A41"/>
    <w:rsid w:val="00EB070A"/>
    <w:rsid w:val="00EB077B"/>
    <w:rsid w:val="00EB25A4"/>
    <w:rsid w:val="00EB3A23"/>
    <w:rsid w:val="00EB4EA2"/>
    <w:rsid w:val="00EB616A"/>
    <w:rsid w:val="00EB66A5"/>
    <w:rsid w:val="00EB68FB"/>
    <w:rsid w:val="00EB7316"/>
    <w:rsid w:val="00EB766F"/>
    <w:rsid w:val="00EC0B2B"/>
    <w:rsid w:val="00EC0FAB"/>
    <w:rsid w:val="00EC143C"/>
    <w:rsid w:val="00EC27C6"/>
    <w:rsid w:val="00EC4207"/>
    <w:rsid w:val="00EC490A"/>
    <w:rsid w:val="00EC550E"/>
    <w:rsid w:val="00EC5653"/>
    <w:rsid w:val="00EC5953"/>
    <w:rsid w:val="00EC5E35"/>
    <w:rsid w:val="00EC71CE"/>
    <w:rsid w:val="00EC75AC"/>
    <w:rsid w:val="00EC7997"/>
    <w:rsid w:val="00ED09A8"/>
    <w:rsid w:val="00ED1006"/>
    <w:rsid w:val="00ED43BC"/>
    <w:rsid w:val="00ED492D"/>
    <w:rsid w:val="00ED5D5F"/>
    <w:rsid w:val="00ED5D67"/>
    <w:rsid w:val="00EE07C3"/>
    <w:rsid w:val="00EE1386"/>
    <w:rsid w:val="00EE147C"/>
    <w:rsid w:val="00EE2224"/>
    <w:rsid w:val="00EE4BEC"/>
    <w:rsid w:val="00EE5368"/>
    <w:rsid w:val="00EE56BF"/>
    <w:rsid w:val="00EE58AC"/>
    <w:rsid w:val="00EE76D2"/>
    <w:rsid w:val="00EF0D4F"/>
    <w:rsid w:val="00EF15E5"/>
    <w:rsid w:val="00EF18FE"/>
    <w:rsid w:val="00EF38CB"/>
    <w:rsid w:val="00EF40E5"/>
    <w:rsid w:val="00EF5330"/>
    <w:rsid w:val="00EF5787"/>
    <w:rsid w:val="00EF57AE"/>
    <w:rsid w:val="00EF5CD9"/>
    <w:rsid w:val="00EF60D0"/>
    <w:rsid w:val="00EF65D6"/>
    <w:rsid w:val="00EF76E2"/>
    <w:rsid w:val="00F016B9"/>
    <w:rsid w:val="00F01A87"/>
    <w:rsid w:val="00F0296A"/>
    <w:rsid w:val="00F03CA1"/>
    <w:rsid w:val="00F04EAC"/>
    <w:rsid w:val="00F0528D"/>
    <w:rsid w:val="00F06277"/>
    <w:rsid w:val="00F06C67"/>
    <w:rsid w:val="00F06DFD"/>
    <w:rsid w:val="00F071D1"/>
    <w:rsid w:val="00F07533"/>
    <w:rsid w:val="00F07FF9"/>
    <w:rsid w:val="00F10629"/>
    <w:rsid w:val="00F11FE8"/>
    <w:rsid w:val="00F126B1"/>
    <w:rsid w:val="00F14725"/>
    <w:rsid w:val="00F154D5"/>
    <w:rsid w:val="00F15FA5"/>
    <w:rsid w:val="00F209B7"/>
    <w:rsid w:val="00F21297"/>
    <w:rsid w:val="00F21770"/>
    <w:rsid w:val="00F21C72"/>
    <w:rsid w:val="00F235F3"/>
    <w:rsid w:val="00F2376F"/>
    <w:rsid w:val="00F243D8"/>
    <w:rsid w:val="00F261BE"/>
    <w:rsid w:val="00F27CC2"/>
    <w:rsid w:val="00F303B3"/>
    <w:rsid w:val="00F30828"/>
    <w:rsid w:val="00F3087B"/>
    <w:rsid w:val="00F313D6"/>
    <w:rsid w:val="00F31CDA"/>
    <w:rsid w:val="00F33617"/>
    <w:rsid w:val="00F339F4"/>
    <w:rsid w:val="00F33BC9"/>
    <w:rsid w:val="00F356E5"/>
    <w:rsid w:val="00F356ED"/>
    <w:rsid w:val="00F35A34"/>
    <w:rsid w:val="00F363A5"/>
    <w:rsid w:val="00F3677A"/>
    <w:rsid w:val="00F36D15"/>
    <w:rsid w:val="00F371C7"/>
    <w:rsid w:val="00F400C5"/>
    <w:rsid w:val="00F40F0C"/>
    <w:rsid w:val="00F424EF"/>
    <w:rsid w:val="00F42508"/>
    <w:rsid w:val="00F4766C"/>
    <w:rsid w:val="00F50398"/>
    <w:rsid w:val="00F507D1"/>
    <w:rsid w:val="00F515B3"/>
    <w:rsid w:val="00F519CE"/>
    <w:rsid w:val="00F51ADA"/>
    <w:rsid w:val="00F52B09"/>
    <w:rsid w:val="00F53334"/>
    <w:rsid w:val="00F54E3C"/>
    <w:rsid w:val="00F601CE"/>
    <w:rsid w:val="00F60580"/>
    <w:rsid w:val="00F607C5"/>
    <w:rsid w:val="00F60DEA"/>
    <w:rsid w:val="00F6141D"/>
    <w:rsid w:val="00F623F9"/>
    <w:rsid w:val="00F6302A"/>
    <w:rsid w:val="00F642C9"/>
    <w:rsid w:val="00F647FF"/>
    <w:rsid w:val="00F64C2B"/>
    <w:rsid w:val="00F651BE"/>
    <w:rsid w:val="00F653D9"/>
    <w:rsid w:val="00F657FA"/>
    <w:rsid w:val="00F663FD"/>
    <w:rsid w:val="00F66775"/>
    <w:rsid w:val="00F67F53"/>
    <w:rsid w:val="00F703BE"/>
    <w:rsid w:val="00F711D6"/>
    <w:rsid w:val="00F71B8A"/>
    <w:rsid w:val="00F71F69"/>
    <w:rsid w:val="00F72B72"/>
    <w:rsid w:val="00F73E8B"/>
    <w:rsid w:val="00F742A5"/>
    <w:rsid w:val="00F74913"/>
    <w:rsid w:val="00F74BB9"/>
    <w:rsid w:val="00F75582"/>
    <w:rsid w:val="00F75A76"/>
    <w:rsid w:val="00F76226"/>
    <w:rsid w:val="00F76D3E"/>
    <w:rsid w:val="00F76EFA"/>
    <w:rsid w:val="00F804BE"/>
    <w:rsid w:val="00F80841"/>
    <w:rsid w:val="00F817CE"/>
    <w:rsid w:val="00F82765"/>
    <w:rsid w:val="00F82F28"/>
    <w:rsid w:val="00F831AD"/>
    <w:rsid w:val="00F83645"/>
    <w:rsid w:val="00F83D1F"/>
    <w:rsid w:val="00F843DC"/>
    <w:rsid w:val="00F8456C"/>
    <w:rsid w:val="00F859D8"/>
    <w:rsid w:val="00F86538"/>
    <w:rsid w:val="00F868F5"/>
    <w:rsid w:val="00F9056A"/>
    <w:rsid w:val="00F90F8D"/>
    <w:rsid w:val="00F92782"/>
    <w:rsid w:val="00F93AA9"/>
    <w:rsid w:val="00F94507"/>
    <w:rsid w:val="00F94AEC"/>
    <w:rsid w:val="00F95BCF"/>
    <w:rsid w:val="00F96985"/>
    <w:rsid w:val="00F96D83"/>
    <w:rsid w:val="00F97838"/>
    <w:rsid w:val="00FA04FC"/>
    <w:rsid w:val="00FA1146"/>
    <w:rsid w:val="00FA20C4"/>
    <w:rsid w:val="00FA2BB3"/>
    <w:rsid w:val="00FA4033"/>
    <w:rsid w:val="00FA57DE"/>
    <w:rsid w:val="00FA6074"/>
    <w:rsid w:val="00FA6FF0"/>
    <w:rsid w:val="00FA76D2"/>
    <w:rsid w:val="00FB11B5"/>
    <w:rsid w:val="00FB32B9"/>
    <w:rsid w:val="00FB3B83"/>
    <w:rsid w:val="00FB465B"/>
    <w:rsid w:val="00FB4C80"/>
    <w:rsid w:val="00FB4CA6"/>
    <w:rsid w:val="00FB5B7B"/>
    <w:rsid w:val="00FB6A6A"/>
    <w:rsid w:val="00FB7306"/>
    <w:rsid w:val="00FB761E"/>
    <w:rsid w:val="00FC1ED0"/>
    <w:rsid w:val="00FC27FC"/>
    <w:rsid w:val="00FC7429"/>
    <w:rsid w:val="00FD013D"/>
    <w:rsid w:val="00FD07F6"/>
    <w:rsid w:val="00FD14AE"/>
    <w:rsid w:val="00FD1588"/>
    <w:rsid w:val="00FD1E04"/>
    <w:rsid w:val="00FD1EC8"/>
    <w:rsid w:val="00FD203D"/>
    <w:rsid w:val="00FD3349"/>
    <w:rsid w:val="00FD4350"/>
    <w:rsid w:val="00FD47ED"/>
    <w:rsid w:val="00FD5ACB"/>
    <w:rsid w:val="00FD74DB"/>
    <w:rsid w:val="00FD7660"/>
    <w:rsid w:val="00FE039B"/>
    <w:rsid w:val="00FE0655"/>
    <w:rsid w:val="00FE192C"/>
    <w:rsid w:val="00FE2365"/>
    <w:rsid w:val="00FE2A87"/>
    <w:rsid w:val="00FE4C7B"/>
    <w:rsid w:val="00FE53FC"/>
    <w:rsid w:val="00FE7336"/>
    <w:rsid w:val="00FE7781"/>
    <w:rsid w:val="00FE787C"/>
    <w:rsid w:val="00FE7D6F"/>
    <w:rsid w:val="00FF03ED"/>
    <w:rsid w:val="00FF1984"/>
    <w:rsid w:val="00FF1BD7"/>
    <w:rsid w:val="00FF2995"/>
    <w:rsid w:val="00FF3587"/>
    <w:rsid w:val="00FF415A"/>
    <w:rsid w:val="00FF41A8"/>
    <w:rsid w:val="00FF45A5"/>
    <w:rsid w:val="00FF53E1"/>
    <w:rsid w:val="00FF5C91"/>
    <w:rsid w:val="00FF6053"/>
    <w:rsid w:val="00FF6387"/>
    <w:rsid w:val="00FF6F4F"/>
    <w:rsid w:val="00FF7EEE"/>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B4844CFD-8BFA-41B0-AC50-48339251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clear" w:pos="1872"/>
        <w:tab w:val="left" w:pos="1701"/>
        <w:tab w:val="num" w:pos="5556"/>
      </w:tabs>
      <w:ind w:left="5556"/>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8E0B8B"/>
    <w:rPr>
      <w:rFonts w:ascii="Arial" w:hAnsi="Arial"/>
      <w:b/>
      <w:sz w:val="18"/>
    </w:rPr>
  </w:style>
  <w:style w:type="paragraph" w:customStyle="1" w:styleId="ECCParagraph">
    <w:name w:val="ECC Paragraph"/>
    <w:basedOn w:val="Normal"/>
    <w:uiPriority w:val="99"/>
    <w:rsid w:val="009246F2"/>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9246F2"/>
    <w:pPr>
      <w:numPr>
        <w:numId w:val="26"/>
      </w:num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14000568">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5.xml><?xml version="1.0" encoding="utf-8"?>
<ds:datastoreItem xmlns:ds="http://schemas.openxmlformats.org/officeDocument/2006/customXml" ds:itemID="{D1AB0B54-1701-4118-9E7D-A9295504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3</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10433</CharactersWithSpaces>
  <SharedDoc>false</SharedDoc>
  <HLinks>
    <vt:vector size="48" baseType="variant">
      <vt:variant>
        <vt:i4>1376305</vt:i4>
      </vt:variant>
      <vt:variant>
        <vt:i4>29</vt:i4>
      </vt:variant>
      <vt:variant>
        <vt:i4>0</vt:i4>
      </vt:variant>
      <vt:variant>
        <vt:i4>5</vt:i4>
      </vt:variant>
      <vt:variant>
        <vt:lpwstr/>
      </vt:variant>
      <vt:variant>
        <vt:lpwstr>_Toc136871183</vt:lpwstr>
      </vt:variant>
      <vt:variant>
        <vt:i4>1376305</vt:i4>
      </vt:variant>
      <vt:variant>
        <vt:i4>26</vt:i4>
      </vt:variant>
      <vt:variant>
        <vt:i4>0</vt:i4>
      </vt:variant>
      <vt:variant>
        <vt:i4>5</vt:i4>
      </vt:variant>
      <vt:variant>
        <vt:lpwstr/>
      </vt:variant>
      <vt:variant>
        <vt:lpwstr>_Toc136871182</vt:lpwstr>
      </vt:variant>
      <vt:variant>
        <vt:i4>1376305</vt:i4>
      </vt:variant>
      <vt:variant>
        <vt:i4>20</vt:i4>
      </vt:variant>
      <vt:variant>
        <vt:i4>0</vt:i4>
      </vt:variant>
      <vt:variant>
        <vt:i4>5</vt:i4>
      </vt:variant>
      <vt:variant>
        <vt:lpwstr/>
      </vt:variant>
      <vt:variant>
        <vt:lpwstr>_Toc136871181</vt:lpwstr>
      </vt:variant>
      <vt:variant>
        <vt:i4>1376305</vt:i4>
      </vt:variant>
      <vt:variant>
        <vt:i4>17</vt:i4>
      </vt:variant>
      <vt:variant>
        <vt:i4>0</vt:i4>
      </vt:variant>
      <vt:variant>
        <vt:i4>5</vt:i4>
      </vt:variant>
      <vt:variant>
        <vt:lpwstr/>
      </vt:variant>
      <vt:variant>
        <vt:lpwstr>_Toc136871180</vt:lpwstr>
      </vt:variant>
      <vt:variant>
        <vt:i4>1703985</vt:i4>
      </vt:variant>
      <vt:variant>
        <vt:i4>14</vt:i4>
      </vt:variant>
      <vt:variant>
        <vt:i4>0</vt:i4>
      </vt:variant>
      <vt:variant>
        <vt:i4>5</vt:i4>
      </vt:variant>
      <vt:variant>
        <vt:lpwstr/>
      </vt:variant>
      <vt:variant>
        <vt:lpwstr>_Toc136871179</vt:lpwstr>
      </vt:variant>
      <vt:variant>
        <vt:i4>1703985</vt:i4>
      </vt:variant>
      <vt:variant>
        <vt:i4>11</vt:i4>
      </vt:variant>
      <vt:variant>
        <vt:i4>0</vt:i4>
      </vt:variant>
      <vt:variant>
        <vt:i4>5</vt:i4>
      </vt:variant>
      <vt:variant>
        <vt:lpwstr/>
      </vt:variant>
      <vt:variant>
        <vt:lpwstr>_Toc136871178</vt:lpwstr>
      </vt:variant>
      <vt:variant>
        <vt:i4>1703985</vt:i4>
      </vt:variant>
      <vt:variant>
        <vt:i4>8</vt:i4>
      </vt:variant>
      <vt:variant>
        <vt:i4>0</vt:i4>
      </vt:variant>
      <vt:variant>
        <vt:i4>5</vt:i4>
      </vt:variant>
      <vt:variant>
        <vt:lpwstr/>
      </vt:variant>
      <vt:variant>
        <vt:lpwstr>_Toc136871177</vt:lpwstr>
      </vt:variant>
      <vt:variant>
        <vt:i4>1703985</vt:i4>
      </vt:variant>
      <vt:variant>
        <vt:i4>5</vt:i4>
      </vt:variant>
      <vt:variant>
        <vt:i4>0</vt:i4>
      </vt:variant>
      <vt:variant>
        <vt:i4>5</vt:i4>
      </vt:variant>
      <vt:variant>
        <vt:lpwstr/>
      </vt:variant>
      <vt:variant>
        <vt:lpwstr>_Toc136871176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Mattias</cp:lastModifiedBy>
  <cp:revision>3</cp:revision>
  <cp:lastPrinted>2018-03-23T11:00:00Z</cp:lastPrinted>
  <dcterms:created xsi:type="dcterms:W3CDTF">2023-06-05T13:26:00Z</dcterms:created>
  <dcterms:modified xsi:type="dcterms:W3CDTF">2023-06-05T13:27:00Z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842400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